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2"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A86E95">
            <w:pPr>
              <w:jc w:val="center"/>
              <w:rPr>
                <w:rFonts w:ascii="Arial" w:hAnsi="Arial" w:cs="Arial"/>
                <w:sz w:val="22"/>
                <w:szCs w:val="22"/>
              </w:rPr>
            </w:pPr>
            <w:r>
              <w:rPr>
                <w:rFonts w:ascii="Arial" w:hAnsi="Arial" w:cs="Arial"/>
                <w:noProof/>
                <w:sz w:val="22"/>
                <w:szCs w:val="22"/>
              </w:rPr>
              <w:drawing>
                <wp:inline distT="0" distB="0" distL="0" distR="0">
                  <wp:extent cx="2676525" cy="99060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76525" cy="990600"/>
                          </a:xfrm>
                          <a:prstGeom prst="rect">
                            <a:avLst/>
                          </a:prstGeom>
                          <a:noFill/>
                          <a:ln>
                            <a:noFill/>
                          </a:ln>
                        </pic:spPr>
                      </pic:pic>
                    </a:graphicData>
                  </a:graphic>
                </wp:inline>
              </w:drawing>
            </w:r>
          </w:p>
        </w:tc>
      </w:tr>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5F19B5">
            <w:pPr>
              <w:jc w:val="center"/>
              <w:rPr>
                <w:sz w:val="22"/>
                <w:szCs w:val="22"/>
              </w:rPr>
            </w:pPr>
          </w:p>
          <w:p w:rsidR="00000000" w:rsidRDefault="005F19B5">
            <w:pPr>
              <w:jc w:val="center"/>
              <w:rPr>
                <w:rFonts w:ascii="Bookman Old Style" w:hAnsi="Bookman Old Style" w:cs="Bookman Old Style"/>
                <w:b/>
                <w:bCs/>
                <w:sz w:val="28"/>
                <w:szCs w:val="28"/>
              </w:rPr>
            </w:pPr>
            <w:r>
              <w:rPr>
                <w:rFonts w:ascii="Bookman Old Style" w:hAnsi="Bookman Old Style" w:cs="Bookman Old Style"/>
                <w:b/>
                <w:bCs/>
                <w:sz w:val="28"/>
                <w:szCs w:val="28"/>
              </w:rPr>
              <w:t>AZIENDA SPECIALE CONSORTILE</w:t>
            </w:r>
          </w:p>
        </w:tc>
      </w:tr>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5F19B5">
            <w:pPr>
              <w:jc w:val="center"/>
              <w:rPr>
                <w:rFonts w:ascii="Bookman Old Style" w:hAnsi="Bookman Old Style" w:cs="Bookman Old Style"/>
                <w:b/>
                <w:bCs/>
                <w:sz w:val="24"/>
                <w:szCs w:val="24"/>
              </w:rPr>
            </w:pPr>
            <w:r>
              <w:rPr>
                <w:rFonts w:ascii="Bookman Old Style" w:hAnsi="Bookman Old Style" w:cs="Bookman Old Style"/>
                <w:b/>
                <w:bCs/>
                <w:sz w:val="24"/>
                <w:szCs w:val="24"/>
              </w:rPr>
              <w:t>PER LA GESTIONE DELLE POLITICHE SOCIALI</w:t>
            </w:r>
          </w:p>
          <w:p w:rsidR="00000000" w:rsidRDefault="005F19B5">
            <w:pPr>
              <w:jc w:val="center"/>
              <w:rPr>
                <w:rFonts w:ascii="Bookman Old Style" w:hAnsi="Bookman Old Style" w:cs="Bookman Old Style"/>
                <w:b/>
                <w:bCs/>
                <w:sz w:val="24"/>
                <w:szCs w:val="24"/>
              </w:rPr>
            </w:pPr>
            <w:r>
              <w:rPr>
                <w:rFonts w:ascii="Bookman Old Style" w:hAnsi="Bookman Old Style" w:cs="Bookman Old Style"/>
                <w:b/>
                <w:bCs/>
                <w:sz w:val="24"/>
                <w:szCs w:val="24"/>
              </w:rPr>
              <w:t>NEI COMUNI DELL'AMBITO TERRITORIALE N.A1</w:t>
            </w:r>
          </w:p>
          <w:p w:rsidR="00000000" w:rsidRDefault="005F19B5">
            <w:pPr>
              <w:jc w:val="center"/>
              <w:rPr>
                <w:rFonts w:ascii="Bookman Old Style" w:hAnsi="Bookman Old Style" w:cs="Bookman Old Style"/>
                <w:b/>
                <w:bCs/>
                <w:sz w:val="24"/>
                <w:szCs w:val="24"/>
              </w:rPr>
            </w:pPr>
            <w:r>
              <w:rPr>
                <w:rFonts w:ascii="Bookman Old Style" w:hAnsi="Bookman Old Style" w:cs="Bookman Old Style"/>
                <w:b/>
                <w:bCs/>
                <w:sz w:val="24"/>
                <w:szCs w:val="24"/>
              </w:rPr>
              <w:t>Via Fontananuova - 83031 Ariano Irpino (AV)</w:t>
            </w:r>
          </w:p>
          <w:p w:rsidR="00000000" w:rsidRDefault="005F19B5">
            <w:pPr>
              <w:jc w:val="center"/>
              <w:rPr>
                <w:rFonts w:ascii="Bookman Old Style" w:hAnsi="Bookman Old Style" w:cs="Bookman Old Style"/>
                <w:color w:val="000000"/>
                <w:sz w:val="16"/>
                <w:szCs w:val="16"/>
              </w:rPr>
            </w:pPr>
            <w:r>
              <w:rPr>
                <w:rFonts w:ascii="Arial" w:hAnsi="Arial" w:cs="Arial"/>
                <w:color w:val="000000"/>
              </w:rPr>
              <w:t xml:space="preserve">   </w:t>
            </w:r>
            <w:r>
              <w:rPr>
                <w:rFonts w:ascii="Bookman Old Style" w:hAnsi="Bookman Old Style" w:cs="Bookman Old Style"/>
                <w:color w:val="000000"/>
                <w:sz w:val="16"/>
                <w:szCs w:val="16"/>
              </w:rPr>
              <w:t>P.IVA 02706910649</w:t>
            </w:r>
          </w:p>
          <w:p w:rsidR="00000000" w:rsidRDefault="005F19B5">
            <w:pPr>
              <w:rPr>
                <w:rFonts w:ascii="Bookman Old Style" w:hAnsi="Bookman Old Style" w:cs="Bookman Old Style"/>
                <w:b/>
                <w:bCs/>
                <w:sz w:val="24"/>
                <w:szCs w:val="24"/>
              </w:rPr>
            </w:pPr>
          </w:p>
          <w:p w:rsidR="00000000" w:rsidRDefault="005F19B5">
            <w:pPr>
              <w:jc w:val="center"/>
              <w:rPr>
                <w:rFonts w:ascii="Bookman Old Style" w:hAnsi="Bookman Old Style" w:cs="Bookman Old Style"/>
                <w:b/>
                <w:bCs/>
                <w:sz w:val="24"/>
                <w:szCs w:val="24"/>
              </w:rPr>
            </w:pPr>
          </w:p>
          <w:p w:rsidR="00000000" w:rsidRDefault="005F19B5">
            <w:pPr>
              <w:jc w:val="center"/>
              <w:rPr>
                <w:rFonts w:ascii="Bookman Old Style" w:hAnsi="Bookman Old Style" w:cs="Bookman Old Style"/>
                <w:b/>
                <w:bCs/>
                <w:sz w:val="24"/>
                <w:szCs w:val="24"/>
              </w:rPr>
            </w:pPr>
            <w:r>
              <w:rPr>
                <w:rFonts w:ascii="Bookman Old Style" w:hAnsi="Bookman Old Style" w:cs="Bookman Old Style"/>
                <w:b/>
                <w:bCs/>
                <w:sz w:val="24"/>
                <w:szCs w:val="24"/>
              </w:rPr>
              <w:t>Determinazione del Direttore Generale</w:t>
            </w:r>
          </w:p>
          <w:p w:rsidR="00000000" w:rsidRDefault="005F19B5">
            <w:pPr>
              <w:jc w:val="center"/>
              <w:rPr>
                <w:rFonts w:ascii="Bookman Old Style" w:hAnsi="Bookman Old Style" w:cs="Bookman Old Style"/>
                <w:b/>
                <w:bCs/>
                <w:sz w:val="24"/>
                <w:szCs w:val="24"/>
              </w:rPr>
            </w:pPr>
          </w:p>
        </w:tc>
      </w:tr>
    </w:tbl>
    <w:p w:rsidR="00000000" w:rsidRDefault="005F19B5">
      <w:pPr>
        <w:jc w:val="center"/>
        <w:rPr>
          <w:rFonts w:ascii="Bookman Old Style" w:hAnsi="Bookman Old Style" w:cs="Bookman Old Style"/>
          <w:b/>
          <w:bCs/>
        </w:rPr>
      </w:pPr>
      <w:r>
        <w:rPr>
          <w:rFonts w:ascii="Bookman Old Style" w:hAnsi="Bookman Old Style" w:cs="Bookman Old Style"/>
          <w:sz w:val="24"/>
          <w:szCs w:val="24"/>
        </w:rPr>
        <w:t xml:space="preserve">N. </w:t>
      </w:r>
      <w:r>
        <w:rPr>
          <w:rFonts w:ascii="Bookman Old Style" w:hAnsi="Bookman Old Style" w:cs="Bookman Old Style"/>
          <w:b/>
          <w:bCs/>
        </w:rPr>
        <w:t>215</w:t>
      </w:r>
      <w:r>
        <w:rPr>
          <w:rFonts w:ascii="Bookman Old Style" w:hAnsi="Bookman Old Style" w:cs="Bookman Old Style"/>
        </w:rPr>
        <w:t xml:space="preserve"> </w:t>
      </w:r>
      <w:r>
        <w:rPr>
          <w:rFonts w:ascii="Bookman Old Style" w:hAnsi="Bookman Old Style" w:cs="Bookman Old Style"/>
          <w:sz w:val="24"/>
          <w:szCs w:val="24"/>
        </w:rPr>
        <w:t>del</w:t>
      </w:r>
      <w:r>
        <w:rPr>
          <w:rFonts w:ascii="Bookman Old Style" w:hAnsi="Bookman Old Style" w:cs="Bookman Old Style"/>
        </w:rPr>
        <w:t xml:space="preserve"> </w:t>
      </w:r>
      <w:r>
        <w:rPr>
          <w:rFonts w:ascii="Bookman Old Style" w:hAnsi="Bookman Old Style" w:cs="Bookman Old Style"/>
          <w:b/>
          <w:bCs/>
        </w:rPr>
        <w:t>27/05/2025</w:t>
      </w:r>
    </w:p>
    <w:tbl>
      <w:tblPr>
        <w:tblW w:w="9602"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5F19B5">
            <w:pPr>
              <w:rPr>
                <w:rFonts w:ascii="Bookman Old Style" w:hAnsi="Bookman Old Style" w:cs="Bookman Old Style"/>
                <w:b/>
                <w:bCs/>
                <w:sz w:val="18"/>
                <w:szCs w:val="18"/>
              </w:rPr>
            </w:pPr>
          </w:p>
        </w:tc>
      </w:tr>
    </w:tbl>
    <w:p w:rsidR="00000000" w:rsidRDefault="005F19B5">
      <w:pPr>
        <w:rPr>
          <w:rFonts w:ascii="Bookman Old Style" w:hAnsi="Bookman Old Style" w:cs="Bookman Old Style"/>
          <w:sz w:val="22"/>
          <w:szCs w:val="22"/>
        </w:rPr>
      </w:pPr>
    </w:p>
    <w:tbl>
      <w:tblPr>
        <w:tblW w:w="9602" w:type="dxa"/>
        <w:tblInd w:w="5"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single" w:sz="4" w:space="0" w:color="auto"/>
              <w:left w:val="single" w:sz="4" w:space="0" w:color="auto"/>
              <w:bottom w:val="single" w:sz="4" w:space="0" w:color="auto"/>
              <w:right w:val="single" w:sz="4" w:space="0" w:color="auto"/>
            </w:tcBorders>
          </w:tcPr>
          <w:p w:rsidR="00000000" w:rsidRDefault="005F19B5">
            <w:pPr>
              <w:rPr>
                <w:sz w:val="24"/>
                <w:szCs w:val="24"/>
              </w:rPr>
            </w:pPr>
            <w:r>
              <w:rPr>
                <w:sz w:val="24"/>
                <w:szCs w:val="24"/>
              </w:rPr>
              <w:t>Oggetto: Liquidazione fatture Cooperative Sociali Bmore e Projenia e rendiconto P.A. Vita per l</w:t>
            </w:r>
            <w:r>
              <w:rPr>
                <w:sz w:val="24"/>
                <w:szCs w:val="24"/>
              </w:rPr>
              <w:t>’</w:t>
            </w:r>
            <w:r>
              <w:rPr>
                <w:sz w:val="24"/>
                <w:szCs w:val="24"/>
              </w:rPr>
              <w:t xml:space="preserve">attuazione degli interventi progettuali di </w:t>
            </w:r>
            <w:r>
              <w:rPr>
                <w:sz w:val="24"/>
                <w:szCs w:val="24"/>
              </w:rPr>
              <w:t>“</w:t>
            </w:r>
            <w:r>
              <w:rPr>
                <w:sz w:val="24"/>
                <w:szCs w:val="24"/>
              </w:rPr>
              <w:t>Tutti insieme.. attivamente</w:t>
            </w:r>
            <w:r>
              <w:rPr>
                <w:sz w:val="24"/>
                <w:szCs w:val="24"/>
              </w:rPr>
              <w:t>”</w:t>
            </w:r>
            <w:r>
              <w:rPr>
                <w:sz w:val="24"/>
                <w:szCs w:val="24"/>
              </w:rPr>
              <w:t xml:space="preserve"> re</w:t>
            </w:r>
            <w:r>
              <w:rPr>
                <w:sz w:val="24"/>
                <w:szCs w:val="24"/>
              </w:rPr>
              <w:t>lativi all</w:t>
            </w:r>
            <w:r>
              <w:rPr>
                <w:sz w:val="24"/>
                <w:szCs w:val="24"/>
              </w:rPr>
              <w:t>’</w:t>
            </w:r>
            <w:r>
              <w:rPr>
                <w:sz w:val="24"/>
                <w:szCs w:val="24"/>
              </w:rPr>
              <w:t>inclusione delle persone con disabilità proposti dall</w:t>
            </w:r>
            <w:r>
              <w:rPr>
                <w:sz w:val="24"/>
                <w:szCs w:val="24"/>
              </w:rPr>
              <w:t>’</w:t>
            </w:r>
            <w:r>
              <w:rPr>
                <w:sz w:val="24"/>
                <w:szCs w:val="24"/>
              </w:rPr>
              <w:t>ambito territoriale nonché ammesso al finanziamento dalla Regione Campania con DD n. 224 del 05/12/2022</w:t>
            </w:r>
          </w:p>
        </w:tc>
      </w:tr>
    </w:tbl>
    <w:p w:rsidR="00000000" w:rsidRDefault="005F19B5">
      <w:pPr>
        <w:rPr>
          <w:rFonts w:ascii="Arial" w:hAnsi="Arial" w:cs="Arial"/>
          <w:b/>
          <w:bCs/>
          <w:color w:val="008000"/>
          <w:sz w:val="24"/>
          <w:szCs w:val="24"/>
        </w:rPr>
      </w:pPr>
    </w:p>
    <w:p w:rsidR="00000000" w:rsidRDefault="005F19B5">
      <w:pPr>
        <w:rPr>
          <w:sz w:val="24"/>
          <w:szCs w:val="24"/>
        </w:rPr>
      </w:pPr>
    </w:p>
    <w:p w:rsidR="00000000" w:rsidRDefault="005F19B5">
      <w:pPr>
        <w:rPr>
          <w:rFonts w:ascii="Bookman Old Style" w:hAnsi="Bookman Old Style" w:cs="Bookman Old Style"/>
          <w:sz w:val="24"/>
          <w:szCs w:val="24"/>
        </w:rPr>
      </w:pPr>
    </w:p>
    <w:p w:rsidR="00000000" w:rsidRDefault="005F19B5">
      <w:pPr>
        <w:jc w:val="center"/>
        <w:rPr>
          <w:rFonts w:ascii="Bookman Old Style" w:hAnsi="Bookman Old Style" w:cs="Bookman Old Style"/>
          <w:b/>
          <w:bCs/>
          <w:sz w:val="22"/>
          <w:szCs w:val="22"/>
        </w:rPr>
      </w:pPr>
      <w:r>
        <w:rPr>
          <w:rFonts w:ascii="Bookman Old Style" w:hAnsi="Bookman Old Style" w:cs="Bookman Old Style"/>
          <w:b/>
          <w:bCs/>
          <w:sz w:val="22"/>
          <w:szCs w:val="22"/>
        </w:rPr>
        <w:t>IL DIRETTORE GENERALE</w:t>
      </w:r>
    </w:p>
    <w:p w:rsidR="00000000" w:rsidRDefault="005F19B5">
      <w:pPr>
        <w:rPr>
          <w:rFonts w:ascii="Arial" w:hAnsi="Arial" w:cs="Arial"/>
          <w:b/>
          <w:bCs/>
          <w:color w:val="000000"/>
          <w:sz w:val="24"/>
          <w:szCs w:val="24"/>
        </w:rPr>
      </w:pPr>
    </w:p>
    <w:p w:rsidR="00000000" w:rsidRDefault="005F19B5">
      <w:pPr>
        <w:shd w:val="clear" w:color="FFFFFF" w:fill="FFFFFF"/>
        <w:rPr>
          <w:rFonts w:ascii="Tahoma" w:hAnsi="Tahoma" w:cs="Tahoma"/>
          <w:color w:val="002060"/>
          <w:sz w:val="28"/>
          <w:szCs w:val="28"/>
        </w:rPr>
      </w:pPr>
      <w:r>
        <w:rPr>
          <w:rFonts w:ascii="Tahoma" w:hAnsi="Tahoma" w:cs="Tahoma"/>
          <w:color w:val="002060"/>
          <w:sz w:val="28"/>
          <w:szCs w:val="28"/>
        </w:rPr>
        <w:t>CUP: H99I23000100002</w:t>
      </w:r>
    </w:p>
    <w:p w:rsidR="00000000" w:rsidRDefault="005F19B5">
      <w:pPr>
        <w:spacing w:after="120"/>
        <w:ind w:firstLine="720"/>
        <w:jc w:val="both"/>
        <w:rPr>
          <w:rFonts w:ascii="Tahoma" w:hAnsi="Tahoma" w:cs="Tahoma"/>
          <w:color w:val="4F6228"/>
          <w:sz w:val="22"/>
          <w:szCs w:val="22"/>
        </w:rPr>
      </w:pPr>
    </w:p>
    <w:p w:rsidR="00000000" w:rsidRDefault="005F19B5">
      <w:pPr>
        <w:spacing w:after="120"/>
        <w:ind w:firstLine="720"/>
        <w:jc w:val="both"/>
        <w:rPr>
          <w:rFonts w:ascii="Tahoma" w:hAnsi="Tahoma" w:cs="Tahoma"/>
          <w:color w:val="4F6228"/>
          <w:sz w:val="22"/>
          <w:szCs w:val="22"/>
        </w:rPr>
      </w:pPr>
      <w:r>
        <w:rPr>
          <w:rFonts w:ascii="Tahoma" w:hAnsi="Tahoma" w:cs="Tahoma"/>
          <w:color w:val="4F6228"/>
          <w:sz w:val="22"/>
          <w:szCs w:val="22"/>
        </w:rPr>
        <w:t>Alla stregua dell'istruttoria resa del responsabile della UO competente, attestante la regolarità tecnica ed amministrativa del procedimento, delle risultanze e degli atti richiamati nelle successive premesse, nonché della dichiarazione di regolarità ai se</w:t>
      </w:r>
      <w:r>
        <w:rPr>
          <w:rFonts w:ascii="Tahoma" w:hAnsi="Tahoma" w:cs="Tahoma"/>
          <w:color w:val="4F6228"/>
          <w:sz w:val="22"/>
          <w:szCs w:val="22"/>
        </w:rPr>
        <w:t xml:space="preserve">nsi dell'art. 147 bis del D.lgs. 267/2000 espressa dal Direttore generale con l'emanazione del provvedimento.  </w:t>
      </w:r>
    </w:p>
    <w:p w:rsidR="00000000" w:rsidRDefault="005F19B5">
      <w:pPr>
        <w:rPr>
          <w:rFonts w:ascii="Tahoma" w:hAnsi="Tahoma" w:cs="Tahoma"/>
          <w:sz w:val="24"/>
          <w:szCs w:val="24"/>
        </w:rPr>
      </w:pPr>
      <w:r>
        <w:rPr>
          <w:rFonts w:ascii="Tahoma" w:hAnsi="Tahoma" w:cs="Tahoma"/>
          <w:sz w:val="24"/>
          <w:szCs w:val="24"/>
        </w:rPr>
        <w:tab/>
      </w:r>
    </w:p>
    <w:p w:rsidR="00000000" w:rsidRDefault="005F19B5">
      <w:pPr>
        <w:rPr>
          <w:rFonts w:ascii="Tahoma" w:hAnsi="Tahoma" w:cs="Tahoma"/>
          <w:sz w:val="24"/>
          <w:szCs w:val="24"/>
        </w:rPr>
      </w:pPr>
    </w:p>
    <w:p w:rsidR="00000000" w:rsidRDefault="005F19B5">
      <w:pPr>
        <w:ind w:left="720"/>
        <w:rPr>
          <w:rFonts w:ascii="Tahoma" w:hAnsi="Tahoma" w:cs="Tahoma"/>
          <w:sz w:val="24"/>
          <w:szCs w:val="24"/>
        </w:rPr>
      </w:pPr>
      <w:r>
        <w:rPr>
          <w:rFonts w:ascii="Tahoma" w:hAnsi="Tahoma" w:cs="Tahoma"/>
          <w:sz w:val="24"/>
          <w:szCs w:val="24"/>
        </w:rPr>
        <w:t>Premesso:</w:t>
      </w:r>
    </w:p>
    <w:p w:rsidR="00000000" w:rsidRDefault="005F19B5">
      <w:pPr>
        <w:shd w:val="clear" w:color="FFFFFF" w:fill="FFFFFF"/>
        <w:ind w:firstLine="708"/>
        <w:jc w:val="both"/>
        <w:rPr>
          <w:rFonts w:ascii="Tahoma" w:hAnsi="Tahoma" w:cs="Tahoma"/>
          <w:color w:val="002060"/>
          <w:sz w:val="28"/>
          <w:szCs w:val="28"/>
        </w:rPr>
      </w:pPr>
    </w:p>
    <w:p w:rsidR="00000000" w:rsidRDefault="005F19B5">
      <w:pPr>
        <w:shd w:val="clear" w:color="FFFFFF" w:fill="FFFFFF"/>
        <w:ind w:firstLine="708"/>
        <w:jc w:val="both"/>
        <w:rPr>
          <w:rFonts w:ascii="Tahoma" w:hAnsi="Tahoma" w:cs="Tahoma"/>
          <w:color w:val="000000"/>
          <w:sz w:val="24"/>
          <w:szCs w:val="24"/>
        </w:rPr>
      </w:pPr>
      <w:r>
        <w:rPr>
          <w:rFonts w:ascii="Tahoma" w:hAnsi="Tahoma" w:cs="Tahoma"/>
          <w:color w:val="000000"/>
          <w:sz w:val="24"/>
          <w:szCs w:val="24"/>
        </w:rPr>
        <w:t>Che la Regione Campania con DD nr. 119 dello 11/04/2022 ha emanato avviso per manifestazione di interesse, non soggetta a procedur</w:t>
      </w:r>
      <w:r>
        <w:rPr>
          <w:rFonts w:ascii="Tahoma" w:hAnsi="Tahoma" w:cs="Tahoma"/>
          <w:color w:val="000000"/>
          <w:sz w:val="24"/>
          <w:szCs w:val="24"/>
        </w:rPr>
        <w:t xml:space="preserve">a selettiva, per le </w:t>
      </w:r>
      <w:r>
        <w:rPr>
          <w:rFonts w:ascii="Tahoma" w:hAnsi="Tahoma" w:cs="Tahoma"/>
          <w:color w:val="000000"/>
          <w:sz w:val="24"/>
          <w:szCs w:val="24"/>
        </w:rPr>
        <w:t>“</w:t>
      </w:r>
      <w:r>
        <w:rPr>
          <w:rFonts w:ascii="Tahoma" w:hAnsi="Tahoma" w:cs="Tahoma"/>
          <w:color w:val="000000"/>
          <w:sz w:val="24"/>
          <w:szCs w:val="24"/>
        </w:rPr>
        <w:t>Progettualità di cui al Fondo per l'inclusione delle persone con disabilità</w:t>
      </w:r>
      <w:r>
        <w:rPr>
          <w:rFonts w:ascii="Tahoma" w:hAnsi="Tahoma" w:cs="Tahoma"/>
          <w:color w:val="000000"/>
          <w:sz w:val="24"/>
          <w:szCs w:val="24"/>
        </w:rPr>
        <w:t>”</w:t>
      </w:r>
      <w:r>
        <w:rPr>
          <w:rFonts w:ascii="Tahoma" w:hAnsi="Tahoma" w:cs="Tahoma"/>
          <w:color w:val="000000"/>
          <w:sz w:val="24"/>
          <w:szCs w:val="24"/>
        </w:rPr>
        <w:t>, destinata agli Ambiti Territoriali della Campania che intendessero candidarsi per la realizzazione di progetti allo scopo destinati, in attuazione della Deli</w:t>
      </w:r>
      <w:r>
        <w:rPr>
          <w:rFonts w:ascii="Tahoma" w:hAnsi="Tahoma" w:cs="Tahoma"/>
          <w:color w:val="000000"/>
          <w:sz w:val="24"/>
          <w:szCs w:val="24"/>
        </w:rPr>
        <w:t>berazione della Giunta Regionale n. 127 del 15/03/2022;</w:t>
      </w:r>
    </w:p>
    <w:p w:rsidR="00000000" w:rsidRDefault="005F19B5">
      <w:pPr>
        <w:shd w:val="clear" w:color="FFFFFF" w:fill="FFFFFF"/>
        <w:ind w:firstLine="708"/>
        <w:jc w:val="both"/>
        <w:rPr>
          <w:rFonts w:ascii="Tahoma" w:hAnsi="Tahoma" w:cs="Tahoma"/>
          <w:color w:val="000000"/>
          <w:sz w:val="24"/>
          <w:szCs w:val="24"/>
        </w:rPr>
      </w:pPr>
    </w:p>
    <w:p w:rsidR="00000000" w:rsidRDefault="005F19B5">
      <w:pPr>
        <w:shd w:val="clear" w:color="FFFFFF" w:fill="FFFFFF"/>
        <w:ind w:firstLine="708"/>
        <w:jc w:val="both"/>
        <w:rPr>
          <w:rFonts w:ascii="Tahoma" w:hAnsi="Tahoma" w:cs="Tahoma"/>
          <w:color w:val="000000"/>
          <w:sz w:val="24"/>
          <w:szCs w:val="24"/>
        </w:rPr>
      </w:pPr>
      <w:r>
        <w:rPr>
          <w:rFonts w:ascii="Tahoma" w:hAnsi="Tahoma" w:cs="Tahoma"/>
          <w:color w:val="000000"/>
          <w:sz w:val="24"/>
          <w:szCs w:val="24"/>
        </w:rPr>
        <w:t>Che l'ambito territoriale A 01 rispondendo all'avviso per manifestazione di interesse diramato dalla Regione Campania con DD nr. 119 dello 11/04/2022 ha proposto la propria candidatura unificando all</w:t>
      </w:r>
      <w:r>
        <w:rPr>
          <w:rFonts w:ascii="Tahoma" w:hAnsi="Tahoma" w:cs="Tahoma"/>
          <w:color w:val="000000"/>
          <w:sz w:val="24"/>
          <w:szCs w:val="24"/>
        </w:rPr>
        <w:t>a medesima la progettazione relativa alla realizzazione di servizi complementari alle attività del Centro sociale polifunzionale nonché destinati all'inclusione delle persone con disabilità;</w:t>
      </w:r>
    </w:p>
    <w:p w:rsidR="00000000" w:rsidRDefault="005F19B5">
      <w:pPr>
        <w:shd w:val="clear" w:color="FFFFFF" w:fill="FFFFFF"/>
        <w:ind w:firstLine="708"/>
        <w:jc w:val="both"/>
        <w:rPr>
          <w:rFonts w:ascii="Tahoma" w:hAnsi="Tahoma" w:cs="Tahoma"/>
          <w:color w:val="000000"/>
          <w:sz w:val="24"/>
          <w:szCs w:val="24"/>
        </w:rPr>
      </w:pPr>
    </w:p>
    <w:p w:rsidR="00000000" w:rsidRDefault="005F19B5">
      <w:pPr>
        <w:shd w:val="clear" w:color="FFFFFF" w:fill="FFFFFF"/>
        <w:ind w:firstLine="708"/>
        <w:jc w:val="both"/>
        <w:rPr>
          <w:rFonts w:ascii="Tahoma" w:hAnsi="Tahoma" w:cs="Tahoma"/>
          <w:color w:val="000000"/>
          <w:sz w:val="24"/>
          <w:szCs w:val="24"/>
        </w:rPr>
      </w:pPr>
      <w:r>
        <w:rPr>
          <w:rFonts w:ascii="Tahoma" w:hAnsi="Tahoma" w:cs="Tahoma"/>
          <w:color w:val="000000"/>
          <w:sz w:val="24"/>
          <w:szCs w:val="24"/>
        </w:rPr>
        <w:t>Che con deliberazione del CDA n. 31 del 01/06/2022 è stato confe</w:t>
      </w:r>
      <w:r>
        <w:rPr>
          <w:rFonts w:ascii="Tahoma" w:hAnsi="Tahoma" w:cs="Tahoma"/>
          <w:color w:val="000000"/>
          <w:sz w:val="24"/>
          <w:szCs w:val="24"/>
        </w:rPr>
        <w:t>rito l'indirizzo di procedere ad avviso esplorativo di interesse per la individuazione degli ETS partners dell'ente per l'attuazione degli interventi progettuali;</w:t>
      </w:r>
    </w:p>
    <w:p w:rsidR="00000000" w:rsidRDefault="005F19B5">
      <w:pPr>
        <w:shd w:val="clear" w:color="FFFFFF" w:fill="FFFFFF"/>
        <w:jc w:val="both"/>
        <w:rPr>
          <w:rFonts w:ascii="Tahoma" w:hAnsi="Tahoma" w:cs="Tahoma"/>
          <w:color w:val="000000"/>
          <w:sz w:val="24"/>
          <w:szCs w:val="24"/>
        </w:rPr>
      </w:pPr>
      <w:r>
        <w:rPr>
          <w:rFonts w:ascii="Tahoma" w:hAnsi="Tahoma" w:cs="Tahoma"/>
          <w:color w:val="000000"/>
          <w:sz w:val="24"/>
          <w:szCs w:val="24"/>
        </w:rPr>
        <w:t xml:space="preserve">                                                                                             </w:t>
      </w:r>
      <w:r>
        <w:rPr>
          <w:rFonts w:ascii="Tahoma" w:hAnsi="Tahoma" w:cs="Tahoma"/>
          <w:color w:val="000000"/>
          <w:sz w:val="24"/>
          <w:szCs w:val="24"/>
        </w:rPr>
        <w:t xml:space="preserve">                                                                                                                                                                                                                                                                </w:t>
      </w:r>
      <w:r>
        <w:rPr>
          <w:rFonts w:ascii="Tahoma" w:hAnsi="Tahoma" w:cs="Tahoma"/>
          <w:color w:val="000000"/>
          <w:sz w:val="24"/>
          <w:szCs w:val="24"/>
        </w:rPr>
        <w:t xml:space="preserve">                                                                                                                                                                                                                                                                </w:t>
      </w:r>
      <w:r>
        <w:rPr>
          <w:rFonts w:ascii="Tahoma" w:hAnsi="Tahoma" w:cs="Tahoma"/>
          <w:color w:val="000000"/>
          <w:sz w:val="24"/>
          <w:szCs w:val="24"/>
        </w:rPr>
        <w:t xml:space="preserve">                                                                                                                                                                                                                                                                </w:t>
      </w:r>
      <w:r>
        <w:rPr>
          <w:rFonts w:ascii="Tahoma" w:hAnsi="Tahoma" w:cs="Tahoma"/>
          <w:color w:val="000000"/>
          <w:sz w:val="24"/>
          <w:szCs w:val="24"/>
        </w:rPr>
        <w:t xml:space="preserve">                                                                                                                                                                                                                                                                </w:t>
      </w:r>
      <w:r>
        <w:rPr>
          <w:rFonts w:ascii="Tahoma" w:hAnsi="Tahoma" w:cs="Tahoma"/>
          <w:color w:val="000000"/>
          <w:sz w:val="24"/>
          <w:szCs w:val="24"/>
        </w:rPr>
        <w:t xml:space="preserve">                                                                                                                                                                                                                                                                </w:t>
      </w:r>
      <w:r>
        <w:rPr>
          <w:rFonts w:ascii="Tahoma" w:hAnsi="Tahoma" w:cs="Tahoma"/>
          <w:color w:val="000000"/>
          <w:sz w:val="24"/>
          <w:szCs w:val="24"/>
        </w:rPr>
        <w:t xml:space="preserve">                                                                                                                                                                                                                                                                </w:t>
      </w:r>
      <w:r>
        <w:rPr>
          <w:rFonts w:ascii="Tahoma" w:hAnsi="Tahoma" w:cs="Tahoma"/>
          <w:color w:val="000000"/>
          <w:sz w:val="24"/>
          <w:szCs w:val="24"/>
        </w:rPr>
        <w:t xml:space="preserve">                                                                                                                                                                                                                                                                </w:t>
      </w:r>
      <w:r>
        <w:rPr>
          <w:rFonts w:ascii="Tahoma" w:hAnsi="Tahoma" w:cs="Tahoma"/>
          <w:color w:val="000000"/>
          <w:sz w:val="24"/>
          <w:szCs w:val="24"/>
        </w:rPr>
        <w:t xml:space="preserve">                                                                                                                                                                                                       </w:t>
      </w:r>
    </w:p>
    <w:p w:rsidR="00000000" w:rsidRDefault="005F19B5">
      <w:pPr>
        <w:shd w:val="clear" w:color="FFFFFF" w:fill="FFFFFF"/>
        <w:ind w:firstLine="708"/>
        <w:jc w:val="both"/>
        <w:rPr>
          <w:rFonts w:ascii="Tahoma" w:hAnsi="Tahoma" w:cs="Tahoma"/>
          <w:color w:val="000000"/>
          <w:sz w:val="24"/>
          <w:szCs w:val="24"/>
        </w:rPr>
      </w:pPr>
      <w:r>
        <w:rPr>
          <w:rFonts w:ascii="Tahoma" w:hAnsi="Tahoma" w:cs="Tahoma"/>
          <w:color w:val="000000"/>
          <w:sz w:val="24"/>
          <w:szCs w:val="24"/>
        </w:rPr>
        <w:t>Che la Regione Campania con DD n. 224 del 05/12/2022 ha ammesso a finanziamento la progettazione relativa all' inclusione delle persone con disabilità proposta dall'ambito territoriale A 01, nonché traferito allo stesso una quota del 70% dello stanziamento</w:t>
      </w:r>
      <w:r>
        <w:rPr>
          <w:rFonts w:ascii="Tahoma" w:hAnsi="Tahoma" w:cs="Tahoma"/>
          <w:color w:val="000000"/>
          <w:sz w:val="24"/>
          <w:szCs w:val="24"/>
        </w:rPr>
        <w:t xml:space="preserve"> concesso;</w:t>
      </w:r>
    </w:p>
    <w:p w:rsidR="00000000" w:rsidRDefault="005F19B5">
      <w:pPr>
        <w:shd w:val="clear" w:color="FFFFFF" w:fill="FFFFFF"/>
        <w:ind w:firstLine="708"/>
        <w:rPr>
          <w:rFonts w:ascii="Tahoma" w:hAnsi="Tahoma" w:cs="Tahoma"/>
          <w:color w:val="000000"/>
          <w:sz w:val="24"/>
          <w:szCs w:val="24"/>
        </w:rPr>
      </w:pPr>
    </w:p>
    <w:p w:rsidR="00000000" w:rsidRDefault="005F19B5">
      <w:pPr>
        <w:shd w:val="clear" w:color="FFFFFF" w:fill="FFFFFF"/>
        <w:ind w:firstLine="708"/>
        <w:rPr>
          <w:rFonts w:ascii="Tahoma" w:hAnsi="Tahoma" w:cs="Tahoma"/>
          <w:color w:val="000000"/>
          <w:sz w:val="24"/>
          <w:szCs w:val="24"/>
        </w:rPr>
      </w:pPr>
      <w:r>
        <w:rPr>
          <w:rFonts w:ascii="Tahoma" w:hAnsi="Tahoma" w:cs="Tahoma"/>
          <w:color w:val="000000"/>
          <w:sz w:val="24"/>
          <w:szCs w:val="24"/>
        </w:rPr>
        <w:t>Che l'ambito territoriale A 01 ha uniformemente sottoscritto l'atto del disciplinare trasmesso dalla Regione Campania, comunicando data di inizio delle attività progettuali e Responsabile del procedimento;</w:t>
      </w:r>
    </w:p>
    <w:p w:rsidR="00000000" w:rsidRDefault="005F19B5">
      <w:pPr>
        <w:shd w:val="clear" w:color="FFFFFF" w:fill="FFFFFF"/>
        <w:ind w:firstLine="708"/>
        <w:rPr>
          <w:rFonts w:ascii="Tahoma" w:hAnsi="Tahoma" w:cs="Tahoma"/>
          <w:color w:val="000000"/>
          <w:sz w:val="24"/>
          <w:szCs w:val="24"/>
        </w:rPr>
      </w:pPr>
    </w:p>
    <w:p w:rsidR="00000000" w:rsidRDefault="005F19B5">
      <w:pPr>
        <w:shd w:val="clear" w:color="FFFFFF" w:fill="FFFFFF"/>
        <w:ind w:firstLine="708"/>
        <w:rPr>
          <w:rFonts w:ascii="Tahoma" w:hAnsi="Tahoma" w:cs="Tahoma"/>
          <w:color w:val="000000"/>
          <w:sz w:val="24"/>
          <w:szCs w:val="24"/>
        </w:rPr>
      </w:pPr>
      <w:r>
        <w:rPr>
          <w:rFonts w:ascii="Tahoma" w:hAnsi="Tahoma" w:cs="Tahoma"/>
          <w:color w:val="000000"/>
          <w:sz w:val="24"/>
          <w:szCs w:val="24"/>
        </w:rPr>
        <w:t>Considerato:</w:t>
      </w:r>
    </w:p>
    <w:p w:rsidR="00000000" w:rsidRDefault="005F19B5">
      <w:pPr>
        <w:shd w:val="clear" w:color="FFFFFF" w:fill="FFFFFF"/>
        <w:ind w:firstLine="708"/>
        <w:rPr>
          <w:rFonts w:ascii="Tahoma" w:hAnsi="Tahoma" w:cs="Tahoma"/>
          <w:color w:val="000000"/>
          <w:sz w:val="24"/>
          <w:szCs w:val="24"/>
        </w:rPr>
      </w:pPr>
    </w:p>
    <w:p w:rsidR="00000000" w:rsidRDefault="005F19B5">
      <w:pPr>
        <w:shd w:val="clear" w:color="FFFFFF" w:fill="FFFFFF"/>
        <w:ind w:firstLine="708"/>
        <w:jc w:val="both"/>
        <w:rPr>
          <w:rFonts w:ascii="Tahoma" w:hAnsi="Tahoma" w:cs="Tahoma"/>
          <w:color w:val="000000"/>
          <w:sz w:val="24"/>
          <w:szCs w:val="24"/>
        </w:rPr>
      </w:pPr>
      <w:r>
        <w:rPr>
          <w:rFonts w:ascii="Tahoma" w:hAnsi="Tahoma" w:cs="Tahoma"/>
          <w:color w:val="000000"/>
          <w:sz w:val="24"/>
          <w:szCs w:val="24"/>
        </w:rPr>
        <w:t xml:space="preserve">Che con determinazione </w:t>
      </w:r>
      <w:r>
        <w:rPr>
          <w:rFonts w:ascii="Tahoma" w:hAnsi="Tahoma" w:cs="Tahoma"/>
          <w:color w:val="000000"/>
          <w:sz w:val="24"/>
          <w:szCs w:val="24"/>
        </w:rPr>
        <w:t xml:space="preserve">del Direttore Generale n. 73 del 02/03/2023 si è proceduto ad approvare e pubblicare, nel rispetto della disciplina stabilita dal D. Lgs 03/07/2017 n. 117 </w:t>
      </w:r>
      <w:r>
        <w:rPr>
          <w:rFonts w:ascii="Tahoma" w:hAnsi="Tahoma" w:cs="Tahoma"/>
          <w:color w:val="000000"/>
          <w:sz w:val="24"/>
          <w:szCs w:val="24"/>
        </w:rPr>
        <w:t>“</w:t>
      </w:r>
      <w:r>
        <w:rPr>
          <w:rFonts w:ascii="Tahoma" w:hAnsi="Tahoma" w:cs="Tahoma"/>
          <w:color w:val="000000"/>
          <w:sz w:val="24"/>
          <w:szCs w:val="24"/>
        </w:rPr>
        <w:t>Codice del Terze Settore</w:t>
      </w:r>
      <w:r>
        <w:rPr>
          <w:rFonts w:ascii="Tahoma" w:hAnsi="Tahoma" w:cs="Tahoma"/>
          <w:color w:val="000000"/>
          <w:sz w:val="24"/>
          <w:szCs w:val="24"/>
        </w:rPr>
        <w:t>”</w:t>
      </w:r>
      <w:r>
        <w:rPr>
          <w:rFonts w:ascii="Tahoma" w:hAnsi="Tahoma" w:cs="Tahoma"/>
          <w:color w:val="000000"/>
          <w:sz w:val="24"/>
          <w:szCs w:val="24"/>
        </w:rPr>
        <w:t>, l'Avviso Pubblico d'indagine esplorativa per l'ammissione degli interessa</w:t>
      </w:r>
      <w:r>
        <w:rPr>
          <w:rFonts w:ascii="Tahoma" w:hAnsi="Tahoma" w:cs="Tahoma"/>
          <w:color w:val="000000"/>
          <w:sz w:val="24"/>
          <w:szCs w:val="24"/>
        </w:rPr>
        <w:t>ti all'accordo procedimentale di co programmazione degli interventi progettuali relativi all'inclusione delle persone con disabilità proposti dall'ambito territoriale nonché ammesso al finanziamento dalla Regione Campania con DD n. 224 del 05/12/2022;</w:t>
      </w:r>
    </w:p>
    <w:p w:rsidR="00000000" w:rsidRDefault="005F19B5">
      <w:pPr>
        <w:shd w:val="clear" w:color="FFFFFF" w:fill="FFFFFF"/>
        <w:ind w:firstLine="708"/>
        <w:rPr>
          <w:rFonts w:ascii="Tahoma" w:hAnsi="Tahoma" w:cs="Tahoma"/>
          <w:color w:val="000000"/>
          <w:sz w:val="24"/>
          <w:szCs w:val="24"/>
        </w:rPr>
      </w:pPr>
    </w:p>
    <w:p w:rsidR="00000000" w:rsidRDefault="005F19B5">
      <w:pPr>
        <w:shd w:val="clear" w:color="FFFFFF" w:fill="FFFFFF"/>
        <w:ind w:firstLine="708"/>
        <w:rPr>
          <w:rFonts w:ascii="Tahoma" w:hAnsi="Tahoma" w:cs="Tahoma"/>
          <w:color w:val="000000"/>
          <w:sz w:val="24"/>
          <w:szCs w:val="24"/>
        </w:rPr>
      </w:pPr>
      <w:r>
        <w:rPr>
          <w:rFonts w:ascii="Tahoma" w:hAnsi="Tahoma" w:cs="Tahoma"/>
          <w:color w:val="000000"/>
          <w:sz w:val="24"/>
          <w:szCs w:val="24"/>
        </w:rPr>
        <w:t>Che</w:t>
      </w:r>
      <w:r>
        <w:rPr>
          <w:rFonts w:ascii="Tahoma" w:hAnsi="Tahoma" w:cs="Tahoma"/>
          <w:color w:val="000000"/>
          <w:sz w:val="24"/>
          <w:szCs w:val="24"/>
        </w:rPr>
        <w:t xml:space="preserve"> nei termini previsti dal suindicato Avviso sono validamente pervenute le istanze dei seguenti enti del terzo settore:</w:t>
      </w:r>
    </w:p>
    <w:p w:rsidR="00000000" w:rsidRDefault="005F19B5">
      <w:pPr>
        <w:shd w:val="clear" w:color="FFFFFF" w:fill="FFFFFF"/>
        <w:ind w:firstLine="708"/>
        <w:rPr>
          <w:rFonts w:ascii="Tahoma" w:hAnsi="Tahoma" w:cs="Tahoma"/>
          <w:color w:val="000000"/>
          <w:sz w:val="24"/>
          <w:szCs w:val="24"/>
        </w:rPr>
      </w:pPr>
    </w:p>
    <w:p w:rsidR="00000000" w:rsidRDefault="005F19B5">
      <w:pPr>
        <w:numPr>
          <w:ilvl w:val="0"/>
          <w:numId w:val="1"/>
        </w:numPr>
        <w:shd w:val="clear" w:color="FFFFFF" w:fill="FFFFFF"/>
        <w:rPr>
          <w:rFonts w:ascii="Tahoma" w:hAnsi="Tahoma" w:cs="Tahoma"/>
          <w:color w:val="000000"/>
          <w:sz w:val="24"/>
          <w:szCs w:val="24"/>
        </w:rPr>
      </w:pPr>
      <w:r>
        <w:rPr>
          <w:rFonts w:ascii="Tahoma" w:hAnsi="Tahoma" w:cs="Tahoma"/>
          <w:color w:val="000000"/>
          <w:sz w:val="24"/>
          <w:szCs w:val="24"/>
        </w:rPr>
        <w:t>P.A. VITA ODV con sede legale in Ariano Irpino;</w:t>
      </w:r>
    </w:p>
    <w:p w:rsidR="00000000" w:rsidRDefault="005F19B5">
      <w:pPr>
        <w:numPr>
          <w:ilvl w:val="0"/>
          <w:numId w:val="1"/>
        </w:numPr>
        <w:shd w:val="clear" w:color="FFFFFF" w:fill="FFFFFF"/>
        <w:rPr>
          <w:rFonts w:ascii="Tahoma" w:hAnsi="Tahoma" w:cs="Tahoma"/>
          <w:color w:val="000000"/>
          <w:sz w:val="24"/>
          <w:szCs w:val="24"/>
        </w:rPr>
      </w:pPr>
      <w:r>
        <w:rPr>
          <w:rFonts w:ascii="Tahoma" w:hAnsi="Tahoma" w:cs="Tahoma"/>
          <w:color w:val="000000"/>
          <w:sz w:val="24"/>
          <w:szCs w:val="24"/>
        </w:rPr>
        <w:t>Società Cooperativa BMore Eccellenze per il Sociale con sede legale in Ariano Irpino</w:t>
      </w:r>
      <w:r>
        <w:rPr>
          <w:rFonts w:ascii="Tahoma" w:hAnsi="Tahoma" w:cs="Tahoma"/>
          <w:color w:val="000000"/>
          <w:sz w:val="24"/>
          <w:szCs w:val="24"/>
        </w:rPr>
        <w:t>;</w:t>
      </w:r>
    </w:p>
    <w:p w:rsidR="00000000" w:rsidRDefault="005F19B5">
      <w:pPr>
        <w:numPr>
          <w:ilvl w:val="0"/>
          <w:numId w:val="1"/>
        </w:numPr>
        <w:shd w:val="clear" w:color="FFFFFF" w:fill="FFFFFF"/>
        <w:rPr>
          <w:rFonts w:ascii="Tahoma" w:hAnsi="Tahoma" w:cs="Tahoma"/>
          <w:color w:val="000000"/>
          <w:sz w:val="24"/>
          <w:szCs w:val="24"/>
        </w:rPr>
      </w:pPr>
      <w:r>
        <w:rPr>
          <w:rFonts w:ascii="Tahoma" w:hAnsi="Tahoma" w:cs="Tahoma"/>
          <w:color w:val="000000"/>
          <w:sz w:val="24"/>
          <w:szCs w:val="24"/>
        </w:rPr>
        <w:t>Società Cooperativa Projenia con sede legale in San Martino V.C. (AV);</w:t>
      </w:r>
    </w:p>
    <w:p w:rsidR="00000000" w:rsidRDefault="005F19B5">
      <w:pPr>
        <w:shd w:val="clear" w:color="FFFFFF" w:fill="FFFFFF"/>
        <w:rPr>
          <w:rFonts w:ascii="Tahoma" w:hAnsi="Tahoma" w:cs="Tahoma"/>
          <w:color w:val="000000"/>
          <w:sz w:val="24"/>
          <w:szCs w:val="24"/>
        </w:rPr>
      </w:pPr>
    </w:p>
    <w:p w:rsidR="00000000" w:rsidRDefault="005F19B5">
      <w:pPr>
        <w:shd w:val="clear" w:color="FFFFFF" w:fill="FFFFFF"/>
        <w:ind w:firstLine="708"/>
        <w:jc w:val="both"/>
        <w:rPr>
          <w:rFonts w:ascii="Tahoma" w:hAnsi="Tahoma" w:cs="Tahoma"/>
          <w:color w:val="000000"/>
          <w:sz w:val="24"/>
          <w:szCs w:val="24"/>
        </w:rPr>
      </w:pPr>
      <w:r>
        <w:rPr>
          <w:rFonts w:ascii="Tahoma" w:hAnsi="Tahoma" w:cs="Tahoma"/>
          <w:color w:val="000000"/>
          <w:sz w:val="24"/>
          <w:szCs w:val="24"/>
        </w:rPr>
        <w:t>Che i suddetti enti del terzo settore hanno attestato di detenere ogni requisito, previsto per la costituzione della rete partenariale, indispensabile per la presentazione dell'ist</w:t>
      </w:r>
      <w:r>
        <w:rPr>
          <w:rFonts w:ascii="Tahoma" w:hAnsi="Tahoma" w:cs="Tahoma"/>
          <w:color w:val="000000"/>
          <w:sz w:val="24"/>
          <w:szCs w:val="24"/>
        </w:rPr>
        <w:t>anza relativa alla realizzazione di interventi destinati all'inclusione delle persone con disabilità proposti dall'ambito territoriale nonché ammessi al finanziamento della Regione Campania con DD n. 224 del 05/12/2022;</w:t>
      </w:r>
    </w:p>
    <w:p w:rsidR="00000000" w:rsidRDefault="005F19B5">
      <w:pPr>
        <w:shd w:val="clear" w:color="FFFFFF" w:fill="FFFFFF"/>
        <w:ind w:firstLine="708"/>
        <w:jc w:val="both"/>
        <w:rPr>
          <w:rFonts w:ascii="Tahoma" w:hAnsi="Tahoma" w:cs="Tahoma"/>
          <w:color w:val="000000"/>
          <w:sz w:val="24"/>
          <w:szCs w:val="24"/>
        </w:rPr>
      </w:pPr>
    </w:p>
    <w:p w:rsidR="00000000" w:rsidRDefault="005F19B5">
      <w:pPr>
        <w:shd w:val="clear" w:color="FFFFFF" w:fill="FFFFFF"/>
        <w:ind w:firstLine="708"/>
        <w:jc w:val="both"/>
        <w:rPr>
          <w:rFonts w:ascii="Tahoma" w:hAnsi="Tahoma" w:cs="Tahoma"/>
          <w:color w:val="000000"/>
          <w:sz w:val="24"/>
          <w:szCs w:val="24"/>
        </w:rPr>
      </w:pPr>
      <w:r>
        <w:rPr>
          <w:rFonts w:ascii="Tahoma" w:hAnsi="Tahoma" w:cs="Tahoma"/>
          <w:color w:val="000000"/>
          <w:sz w:val="24"/>
          <w:szCs w:val="24"/>
        </w:rPr>
        <w:t xml:space="preserve">Considerato altresì: </w:t>
      </w:r>
    </w:p>
    <w:p w:rsidR="00000000" w:rsidRDefault="005F19B5">
      <w:pPr>
        <w:jc w:val="both"/>
        <w:rPr>
          <w:rFonts w:ascii="Tahoma" w:hAnsi="Tahoma" w:cs="Tahoma"/>
          <w:color w:val="000000"/>
          <w:sz w:val="24"/>
          <w:szCs w:val="24"/>
        </w:rPr>
      </w:pPr>
    </w:p>
    <w:p w:rsidR="00000000" w:rsidRDefault="005F19B5">
      <w:pPr>
        <w:ind w:firstLine="708"/>
        <w:jc w:val="both"/>
        <w:rPr>
          <w:rFonts w:ascii="Tahoma" w:hAnsi="Tahoma" w:cs="Tahoma"/>
          <w:color w:val="000000"/>
          <w:sz w:val="24"/>
          <w:szCs w:val="24"/>
        </w:rPr>
      </w:pPr>
      <w:r>
        <w:rPr>
          <w:rFonts w:ascii="Tahoma" w:hAnsi="Tahoma" w:cs="Tahoma"/>
          <w:color w:val="000000"/>
          <w:sz w:val="24"/>
          <w:szCs w:val="24"/>
        </w:rPr>
        <w:t>Che in virtù</w:t>
      </w:r>
      <w:r>
        <w:rPr>
          <w:rFonts w:ascii="Tahoma" w:hAnsi="Tahoma" w:cs="Tahoma"/>
          <w:color w:val="000000"/>
          <w:sz w:val="24"/>
          <w:szCs w:val="24"/>
        </w:rPr>
        <w:t xml:space="preserve"> dell'individuazione non competitiva dell'indagine esplorativa, tutti gli enti privati aderenti suindicati, sono stati ammessi, previa adesione ad apposito accordo procedimentale di co-programmazione, alla rete partenariale tra enti pubblici e privati cost</w:t>
      </w:r>
      <w:r>
        <w:rPr>
          <w:rFonts w:ascii="Tahoma" w:hAnsi="Tahoma" w:cs="Tahoma"/>
          <w:color w:val="000000"/>
          <w:sz w:val="24"/>
          <w:szCs w:val="24"/>
        </w:rPr>
        <w:t>ituita a norma dell'articolo 1, comma 2, del decreto legislativo 30 marzo 2001 n. 16, ove la titolarità delle scelte organizzative fondamentali, degli obiettivi generali e specifici dell'intervento, nonché la rappresentanza della medesima è assunta ed eser</w:t>
      </w:r>
      <w:r>
        <w:rPr>
          <w:rFonts w:ascii="Tahoma" w:hAnsi="Tahoma" w:cs="Tahoma"/>
          <w:color w:val="000000"/>
          <w:sz w:val="24"/>
          <w:szCs w:val="24"/>
        </w:rPr>
        <w:t>citata dall'Azienda Speciale Consortile A01;</w:t>
      </w:r>
    </w:p>
    <w:p w:rsidR="00000000" w:rsidRDefault="005F19B5">
      <w:pPr>
        <w:jc w:val="both"/>
        <w:rPr>
          <w:sz w:val="22"/>
          <w:szCs w:val="22"/>
        </w:rPr>
      </w:pPr>
    </w:p>
    <w:p w:rsidR="00000000" w:rsidRDefault="005F19B5">
      <w:pPr>
        <w:jc w:val="both"/>
        <w:rPr>
          <w:sz w:val="22"/>
          <w:szCs w:val="22"/>
        </w:rPr>
      </w:pPr>
    </w:p>
    <w:p w:rsidR="00000000" w:rsidRDefault="005F19B5">
      <w:pPr>
        <w:ind w:firstLine="708"/>
        <w:jc w:val="both"/>
        <w:rPr>
          <w:rFonts w:ascii="Tahoma" w:hAnsi="Tahoma" w:cs="Tahoma"/>
          <w:color w:val="000000"/>
          <w:sz w:val="24"/>
          <w:szCs w:val="24"/>
        </w:rPr>
      </w:pPr>
      <w:r>
        <w:rPr>
          <w:rFonts w:ascii="Tahoma" w:hAnsi="Tahoma" w:cs="Tahoma"/>
          <w:color w:val="000000"/>
          <w:sz w:val="24"/>
          <w:szCs w:val="24"/>
        </w:rPr>
        <w:t>Che l'Azienda Speciale Consortile con determinazione generale n. 121 del 27/04/2023, ha ammesso i soggetti suindicati alla sottoscrizione di apposito accordo procedimentale di co programmazione nella titolarit</w:t>
      </w:r>
      <w:r>
        <w:rPr>
          <w:rFonts w:ascii="Tahoma" w:hAnsi="Tahoma" w:cs="Tahoma"/>
          <w:color w:val="000000"/>
          <w:sz w:val="24"/>
          <w:szCs w:val="24"/>
        </w:rPr>
        <w:t>à degli enti pubblici proponenti;</w:t>
      </w:r>
    </w:p>
    <w:p w:rsidR="00000000" w:rsidRDefault="005F19B5">
      <w:pPr>
        <w:jc w:val="both"/>
        <w:rPr>
          <w:color w:val="000000"/>
          <w:sz w:val="22"/>
          <w:szCs w:val="22"/>
        </w:rPr>
      </w:pPr>
    </w:p>
    <w:p w:rsidR="00000000" w:rsidRDefault="005F19B5">
      <w:pPr>
        <w:ind w:firstLine="708"/>
        <w:jc w:val="both"/>
        <w:rPr>
          <w:rFonts w:ascii="Tahoma" w:hAnsi="Tahoma" w:cs="Tahoma"/>
          <w:sz w:val="24"/>
          <w:szCs w:val="24"/>
        </w:rPr>
      </w:pPr>
      <w:r>
        <w:rPr>
          <w:rFonts w:ascii="Tahoma" w:hAnsi="Tahoma" w:cs="Tahoma"/>
          <w:sz w:val="24"/>
          <w:szCs w:val="24"/>
        </w:rPr>
        <w:t>Che i suddetti soggetti del terzo settore hanno titolo alla controprestazione degli interventi progettuali regolarmente eseguiti, esclusivamente entro la compatibilità delle risorse effettivamente disponibili e del quanti</w:t>
      </w:r>
      <w:r>
        <w:rPr>
          <w:rFonts w:ascii="Tahoma" w:hAnsi="Tahoma" w:cs="Tahoma"/>
          <w:sz w:val="24"/>
          <w:szCs w:val="24"/>
        </w:rPr>
        <w:t>tativo economico degli interventi progettuali regolato dal richiamato accordo procedimentale di co programmazione.</w:t>
      </w:r>
    </w:p>
    <w:p w:rsidR="00000000" w:rsidRDefault="005F19B5">
      <w:pPr>
        <w:shd w:val="clear" w:color="FFFFFF" w:fill="FFFFFF"/>
        <w:rPr>
          <w:rFonts w:ascii="Tahoma" w:hAnsi="Tahoma" w:cs="Tahoma"/>
          <w:color w:val="000000"/>
          <w:sz w:val="24"/>
          <w:szCs w:val="24"/>
        </w:rPr>
      </w:pPr>
    </w:p>
    <w:p w:rsidR="00000000" w:rsidRDefault="005F19B5">
      <w:pPr>
        <w:shd w:val="clear" w:color="FFFFFF" w:fill="FFFFFF"/>
        <w:ind w:firstLine="708"/>
        <w:rPr>
          <w:rFonts w:ascii="Tahoma" w:hAnsi="Tahoma" w:cs="Tahoma"/>
          <w:color w:val="000000"/>
          <w:sz w:val="24"/>
          <w:szCs w:val="24"/>
        </w:rPr>
      </w:pPr>
      <w:r>
        <w:rPr>
          <w:rFonts w:ascii="Tahoma" w:hAnsi="Tahoma" w:cs="Tahoma"/>
          <w:color w:val="000000"/>
          <w:sz w:val="24"/>
          <w:szCs w:val="24"/>
        </w:rPr>
        <w:t>Dato atto che</w:t>
      </w:r>
    </w:p>
    <w:p w:rsidR="00000000" w:rsidRDefault="005F19B5">
      <w:pPr>
        <w:shd w:val="clear" w:color="FFFFFF" w:fill="FFFFFF"/>
        <w:ind w:firstLine="708"/>
        <w:rPr>
          <w:rFonts w:ascii="Tahoma" w:hAnsi="Tahoma" w:cs="Tahoma"/>
          <w:color w:val="000000"/>
          <w:sz w:val="24"/>
          <w:szCs w:val="24"/>
        </w:rPr>
      </w:pPr>
    </w:p>
    <w:p w:rsidR="00000000" w:rsidRDefault="005F19B5">
      <w:pPr>
        <w:shd w:val="clear" w:color="FFFFFF" w:fill="FFFFFF"/>
        <w:jc w:val="both"/>
        <w:rPr>
          <w:rFonts w:ascii="Tahoma" w:hAnsi="Tahoma" w:cs="Tahoma"/>
          <w:color w:val="000000"/>
          <w:sz w:val="24"/>
          <w:szCs w:val="24"/>
        </w:rPr>
      </w:pPr>
      <w:r>
        <w:rPr>
          <w:rFonts w:ascii="Tahoma" w:hAnsi="Tahoma" w:cs="Tahoma"/>
          <w:color w:val="000000"/>
          <w:sz w:val="24"/>
          <w:szCs w:val="24"/>
        </w:rPr>
        <w:t xml:space="preserve">  </w:t>
      </w:r>
      <w:r>
        <w:rPr>
          <w:rFonts w:ascii="Tahoma" w:hAnsi="Tahoma" w:cs="Tahoma"/>
          <w:color w:val="000000"/>
          <w:sz w:val="24"/>
          <w:szCs w:val="24"/>
        </w:rPr>
        <w:tab/>
        <w:t>in data 07/11/2023 è stata formalizzata la definizione dell'accordo procedimentale di co-programmazione della rete partena</w:t>
      </w:r>
      <w:r>
        <w:rPr>
          <w:rFonts w:ascii="Tahoma" w:hAnsi="Tahoma" w:cs="Tahoma"/>
          <w:color w:val="000000"/>
          <w:sz w:val="24"/>
          <w:szCs w:val="24"/>
        </w:rPr>
        <w:t>riale tra enti pubblici e privati appartenenti al terzo settore, ex D. lgs. n. 117/2017 per l'attuazione degli interventi progettuali relativi all'inclusione delle persone con disabilità proposti nell'ambito territoriale ammessi a finanziamento della Regio</w:t>
      </w:r>
      <w:r>
        <w:rPr>
          <w:rFonts w:ascii="Tahoma" w:hAnsi="Tahoma" w:cs="Tahoma"/>
          <w:color w:val="000000"/>
          <w:sz w:val="24"/>
          <w:szCs w:val="24"/>
        </w:rPr>
        <w:t>ne Campania con DD n. 224 del 05/12/2022;</w:t>
      </w:r>
    </w:p>
    <w:p w:rsidR="00000000" w:rsidRDefault="005F19B5">
      <w:pPr>
        <w:jc w:val="both"/>
        <w:rPr>
          <w:rFonts w:ascii="Tahoma" w:hAnsi="Tahoma" w:cs="Tahoma"/>
          <w:sz w:val="24"/>
          <w:szCs w:val="24"/>
        </w:rPr>
      </w:pPr>
    </w:p>
    <w:p w:rsidR="00000000" w:rsidRDefault="005F19B5">
      <w:pPr>
        <w:shd w:val="clear" w:color="FFFFFF" w:fill="FFFFFF"/>
        <w:ind w:firstLine="720"/>
        <w:jc w:val="both"/>
        <w:rPr>
          <w:rFonts w:ascii="Tahoma" w:hAnsi="Tahoma" w:cs="Tahoma"/>
          <w:color w:val="000000"/>
          <w:sz w:val="24"/>
          <w:szCs w:val="24"/>
        </w:rPr>
      </w:pPr>
      <w:r>
        <w:rPr>
          <w:rFonts w:ascii="Tahoma" w:hAnsi="Tahoma" w:cs="Tahoma"/>
          <w:color w:val="000000"/>
          <w:sz w:val="24"/>
          <w:szCs w:val="24"/>
        </w:rPr>
        <w:t>Preso atto che con deliberazione n. 66 del 08/11/2023 il CdA dell'Azienda Speciale Consortile A01 ha proceduto a prendere atto del suddetto accordo procedimentale di coprogrammazione sottoscritto con i soggetti de</w:t>
      </w:r>
      <w:r>
        <w:rPr>
          <w:rFonts w:ascii="Tahoma" w:hAnsi="Tahoma" w:cs="Tahoma"/>
          <w:color w:val="000000"/>
          <w:sz w:val="24"/>
          <w:szCs w:val="24"/>
        </w:rPr>
        <w:t>l Terzo Settore ai sensi del D. lgs. n. 117/2017;</w:t>
      </w:r>
    </w:p>
    <w:p w:rsidR="00000000" w:rsidRDefault="005F19B5">
      <w:pPr>
        <w:shd w:val="clear" w:color="FFFFFF" w:fill="FFFFFF"/>
        <w:ind w:firstLine="720"/>
        <w:jc w:val="both"/>
        <w:rPr>
          <w:rFonts w:ascii="Tahoma" w:hAnsi="Tahoma" w:cs="Tahoma"/>
          <w:color w:val="000000"/>
          <w:sz w:val="24"/>
          <w:szCs w:val="24"/>
        </w:rPr>
      </w:pPr>
    </w:p>
    <w:p w:rsidR="00000000" w:rsidRDefault="005F19B5">
      <w:pPr>
        <w:shd w:val="clear" w:color="FFFFFF" w:fill="FFFFFF"/>
        <w:ind w:firstLine="720"/>
        <w:jc w:val="both"/>
        <w:rPr>
          <w:rFonts w:ascii="Tahoma" w:hAnsi="Tahoma" w:cs="Tahoma"/>
          <w:color w:val="000000"/>
          <w:sz w:val="24"/>
          <w:szCs w:val="24"/>
        </w:rPr>
      </w:pPr>
      <w:r>
        <w:rPr>
          <w:rFonts w:ascii="Tahoma" w:hAnsi="Tahoma" w:cs="Tahoma"/>
          <w:color w:val="000000"/>
          <w:sz w:val="24"/>
          <w:szCs w:val="24"/>
        </w:rPr>
        <w:t xml:space="preserve">Che con determinazione del Direttore Generale n. 196 del 21/05/2024 è stata approvata la spesa di </w:t>
      </w:r>
      <w:r>
        <w:rPr>
          <w:rFonts w:ascii="Tahoma" w:hAnsi="Tahoma" w:cs="Tahoma"/>
          <w:color w:val="000000"/>
          <w:sz w:val="24"/>
          <w:szCs w:val="24"/>
        </w:rPr>
        <w:t>€</w:t>
      </w:r>
      <w:r>
        <w:rPr>
          <w:rFonts w:ascii="Tahoma" w:hAnsi="Tahoma" w:cs="Tahoma"/>
          <w:color w:val="000000"/>
          <w:sz w:val="24"/>
          <w:szCs w:val="24"/>
        </w:rPr>
        <w:t xml:space="preserve"> 100.000,00 per le azioni previste dal progetto </w:t>
      </w:r>
      <w:r>
        <w:rPr>
          <w:rFonts w:ascii="Tahoma" w:hAnsi="Tahoma" w:cs="Tahoma"/>
          <w:color w:val="000000"/>
          <w:sz w:val="24"/>
          <w:szCs w:val="24"/>
        </w:rPr>
        <w:t>“</w:t>
      </w:r>
      <w:r>
        <w:rPr>
          <w:rFonts w:ascii="Tahoma" w:hAnsi="Tahoma" w:cs="Tahoma"/>
          <w:color w:val="000000"/>
          <w:sz w:val="24"/>
          <w:szCs w:val="24"/>
        </w:rPr>
        <w:t>Tutti insieme.. attivamente</w:t>
      </w:r>
      <w:r>
        <w:rPr>
          <w:rFonts w:ascii="Tahoma" w:hAnsi="Tahoma" w:cs="Tahoma"/>
          <w:color w:val="000000"/>
          <w:sz w:val="24"/>
          <w:szCs w:val="24"/>
        </w:rPr>
        <w:t>”</w:t>
      </w:r>
      <w:r>
        <w:rPr>
          <w:rFonts w:ascii="Tahoma" w:hAnsi="Tahoma" w:cs="Tahoma"/>
          <w:color w:val="000000"/>
          <w:sz w:val="24"/>
          <w:szCs w:val="24"/>
        </w:rPr>
        <w:t xml:space="preserve"> ammesso al finanziamento dal</w:t>
      </w:r>
      <w:r>
        <w:rPr>
          <w:rFonts w:ascii="Tahoma" w:hAnsi="Tahoma" w:cs="Tahoma"/>
          <w:color w:val="000000"/>
          <w:sz w:val="24"/>
          <w:szCs w:val="24"/>
        </w:rPr>
        <w:t>la Regione Campania con DD n. 224 del 05/12/2022;</w:t>
      </w:r>
    </w:p>
    <w:p w:rsidR="00000000" w:rsidRDefault="005F19B5">
      <w:pPr>
        <w:shd w:val="clear" w:color="FFFFFF" w:fill="FFFFFF"/>
        <w:ind w:firstLine="720"/>
        <w:jc w:val="both"/>
        <w:rPr>
          <w:rFonts w:ascii="Tahoma" w:hAnsi="Tahoma" w:cs="Tahoma"/>
          <w:color w:val="000000"/>
          <w:sz w:val="24"/>
          <w:szCs w:val="24"/>
        </w:rPr>
      </w:pPr>
    </w:p>
    <w:p w:rsidR="00000000" w:rsidRDefault="005F19B5">
      <w:pPr>
        <w:shd w:val="clear" w:color="FFFFFF" w:fill="FFFFFF"/>
        <w:ind w:firstLine="720"/>
        <w:jc w:val="both"/>
        <w:rPr>
          <w:rFonts w:ascii="Tahoma" w:hAnsi="Tahoma" w:cs="Tahoma"/>
          <w:color w:val="000000"/>
          <w:sz w:val="24"/>
          <w:szCs w:val="24"/>
        </w:rPr>
      </w:pPr>
      <w:r>
        <w:rPr>
          <w:rFonts w:ascii="Tahoma" w:hAnsi="Tahoma" w:cs="Tahoma"/>
          <w:color w:val="000000"/>
          <w:sz w:val="24"/>
          <w:szCs w:val="24"/>
        </w:rPr>
        <w:t xml:space="preserve">Che con determinazione del Direttore Generale n.198 del 21/05/2025 si è provveduto ad effettuare la liquidazione del primo acconto sul progetto </w:t>
      </w:r>
      <w:r>
        <w:rPr>
          <w:rFonts w:ascii="Tahoma" w:hAnsi="Tahoma" w:cs="Tahoma"/>
          <w:color w:val="000000"/>
          <w:sz w:val="24"/>
          <w:szCs w:val="24"/>
        </w:rPr>
        <w:t>“</w:t>
      </w:r>
      <w:r>
        <w:rPr>
          <w:rFonts w:ascii="Tahoma" w:hAnsi="Tahoma" w:cs="Tahoma"/>
          <w:color w:val="000000"/>
          <w:sz w:val="24"/>
          <w:szCs w:val="24"/>
        </w:rPr>
        <w:t xml:space="preserve">Tutti insieme </w:t>
      </w:r>
      <w:r>
        <w:rPr>
          <w:rFonts w:ascii="Tahoma" w:hAnsi="Tahoma" w:cs="Tahoma"/>
          <w:color w:val="000000"/>
          <w:sz w:val="24"/>
          <w:szCs w:val="24"/>
        </w:rPr>
        <w:t>…</w:t>
      </w:r>
      <w:r>
        <w:rPr>
          <w:rFonts w:ascii="Tahoma" w:hAnsi="Tahoma" w:cs="Tahoma"/>
          <w:color w:val="000000"/>
          <w:sz w:val="24"/>
          <w:szCs w:val="24"/>
        </w:rPr>
        <w:t>attivamente</w:t>
      </w:r>
      <w:r>
        <w:rPr>
          <w:rFonts w:ascii="Tahoma" w:hAnsi="Tahoma" w:cs="Tahoma"/>
          <w:color w:val="000000"/>
          <w:sz w:val="24"/>
          <w:szCs w:val="24"/>
        </w:rPr>
        <w:t>”</w:t>
      </w:r>
      <w:r>
        <w:rPr>
          <w:rFonts w:ascii="Tahoma" w:hAnsi="Tahoma" w:cs="Tahoma"/>
          <w:color w:val="000000"/>
          <w:sz w:val="24"/>
          <w:szCs w:val="24"/>
        </w:rPr>
        <w:t xml:space="preserve"> alle cooperative sociali Bmore e</w:t>
      </w:r>
      <w:r>
        <w:rPr>
          <w:rFonts w:ascii="Tahoma" w:hAnsi="Tahoma" w:cs="Tahoma"/>
          <w:color w:val="000000"/>
          <w:sz w:val="24"/>
          <w:szCs w:val="24"/>
        </w:rPr>
        <w:t xml:space="preserve"> Projenia aderenti all'accordo procedimentale di coprogrammazione;    </w:t>
      </w:r>
    </w:p>
    <w:p w:rsidR="00000000" w:rsidRDefault="005F19B5">
      <w:pPr>
        <w:shd w:val="clear" w:color="FFFFFF" w:fill="FFFFFF"/>
        <w:jc w:val="both"/>
        <w:rPr>
          <w:rFonts w:ascii="Tahoma" w:hAnsi="Tahoma" w:cs="Tahoma"/>
          <w:sz w:val="24"/>
          <w:szCs w:val="24"/>
        </w:rPr>
      </w:pPr>
    </w:p>
    <w:p w:rsidR="00000000" w:rsidRDefault="005F19B5">
      <w:pPr>
        <w:shd w:val="clear" w:color="FFFFFF" w:fill="FFFFFF"/>
        <w:ind w:firstLine="720"/>
        <w:jc w:val="both"/>
        <w:rPr>
          <w:rFonts w:ascii="Tahoma" w:hAnsi="Tahoma" w:cs="Tahoma"/>
          <w:sz w:val="24"/>
          <w:szCs w:val="24"/>
        </w:rPr>
      </w:pPr>
      <w:r>
        <w:rPr>
          <w:rFonts w:ascii="Tahoma" w:hAnsi="Tahoma" w:cs="Tahoma"/>
          <w:sz w:val="24"/>
          <w:szCs w:val="24"/>
        </w:rPr>
        <w:t xml:space="preserve">Preso atto degli ulteriori documenti contabili emessi dalle cooperative sociali Bmore Eccellenze per il Sociale e Projenia e da PA Vita ODV con sede legale in Ariano Irpino, acquisiti </w:t>
      </w:r>
      <w:r>
        <w:rPr>
          <w:rFonts w:ascii="Tahoma" w:hAnsi="Tahoma" w:cs="Tahoma"/>
          <w:sz w:val="24"/>
          <w:szCs w:val="24"/>
        </w:rPr>
        <w:t xml:space="preserve">al protocollo dell'ente in merito al Progetto </w:t>
      </w:r>
      <w:r>
        <w:rPr>
          <w:rFonts w:ascii="Tahoma" w:hAnsi="Tahoma" w:cs="Tahoma"/>
          <w:sz w:val="24"/>
          <w:szCs w:val="24"/>
        </w:rPr>
        <w:t>“</w:t>
      </w:r>
      <w:r>
        <w:rPr>
          <w:rFonts w:ascii="Tahoma" w:hAnsi="Tahoma" w:cs="Tahoma"/>
          <w:sz w:val="24"/>
          <w:szCs w:val="24"/>
        </w:rPr>
        <w:t>Tutti insieme.. attivamente</w:t>
      </w:r>
      <w:r>
        <w:rPr>
          <w:rFonts w:ascii="Tahoma" w:hAnsi="Tahoma" w:cs="Tahoma"/>
          <w:sz w:val="24"/>
          <w:szCs w:val="24"/>
        </w:rPr>
        <w:t>”</w:t>
      </w:r>
      <w:r>
        <w:rPr>
          <w:rFonts w:ascii="Tahoma" w:hAnsi="Tahoma" w:cs="Tahoma"/>
          <w:sz w:val="24"/>
          <w:szCs w:val="24"/>
        </w:rPr>
        <w:t>;</w:t>
      </w:r>
    </w:p>
    <w:p w:rsidR="00000000" w:rsidRDefault="005F19B5">
      <w:pPr>
        <w:shd w:val="clear" w:color="FFFFFF" w:fill="FFFFFF"/>
        <w:rPr>
          <w:rFonts w:ascii="Tahoma" w:hAnsi="Tahoma" w:cs="Tahoma"/>
          <w:color w:val="000000"/>
          <w:sz w:val="24"/>
          <w:szCs w:val="24"/>
        </w:rPr>
      </w:pPr>
    </w:p>
    <w:p w:rsidR="00000000" w:rsidRDefault="005F19B5">
      <w:pPr>
        <w:shd w:val="clear" w:color="FFFFFF" w:fill="FFFFFF"/>
        <w:ind w:firstLine="708"/>
        <w:jc w:val="both"/>
        <w:rPr>
          <w:rFonts w:ascii="Tahoma" w:hAnsi="Tahoma" w:cs="Tahoma"/>
          <w:color w:val="000000"/>
          <w:sz w:val="24"/>
          <w:szCs w:val="24"/>
        </w:rPr>
      </w:pPr>
      <w:r>
        <w:rPr>
          <w:rFonts w:ascii="Tahoma" w:hAnsi="Tahoma" w:cs="Tahoma"/>
          <w:color w:val="000000"/>
          <w:sz w:val="24"/>
          <w:szCs w:val="24"/>
        </w:rPr>
        <w:t>Ritenuto di procedere al pagamento delle spettanze per la realizzazione delle azioni previste nel suddetto progetto;</w:t>
      </w:r>
    </w:p>
    <w:p w:rsidR="00000000" w:rsidRDefault="005F19B5">
      <w:pPr>
        <w:shd w:val="clear" w:color="FFFFFF" w:fill="FFFFFF"/>
        <w:ind w:firstLine="708"/>
        <w:jc w:val="both"/>
        <w:rPr>
          <w:rFonts w:ascii="Tahoma" w:hAnsi="Tahoma" w:cs="Tahoma"/>
          <w:color w:val="000000"/>
          <w:sz w:val="24"/>
          <w:szCs w:val="24"/>
        </w:rPr>
      </w:pPr>
    </w:p>
    <w:p w:rsidR="00000000" w:rsidRDefault="005F19B5">
      <w:pPr>
        <w:shd w:val="clear" w:color="FFFFFF" w:fill="FFFFFF"/>
        <w:ind w:firstLine="708"/>
        <w:jc w:val="both"/>
        <w:rPr>
          <w:rFonts w:ascii="Tahoma" w:hAnsi="Tahoma" w:cs="Tahoma"/>
          <w:color w:val="000000"/>
          <w:sz w:val="24"/>
          <w:szCs w:val="24"/>
        </w:rPr>
      </w:pPr>
      <w:r>
        <w:rPr>
          <w:rFonts w:ascii="Tahoma" w:hAnsi="Tahoma" w:cs="Tahoma"/>
          <w:color w:val="000000"/>
          <w:sz w:val="24"/>
          <w:szCs w:val="24"/>
        </w:rPr>
        <w:t>Visto il Decreto legislativo n. 267 del 18 agosto 2000;</w:t>
      </w:r>
    </w:p>
    <w:p w:rsidR="00000000" w:rsidRDefault="005F19B5">
      <w:pPr>
        <w:rPr>
          <w:rFonts w:ascii="Tahoma" w:hAnsi="Tahoma" w:cs="Tahoma"/>
          <w:color w:val="000000"/>
          <w:sz w:val="24"/>
          <w:szCs w:val="24"/>
        </w:rPr>
      </w:pPr>
    </w:p>
    <w:p w:rsidR="00000000" w:rsidRDefault="005F19B5">
      <w:pPr>
        <w:ind w:firstLine="540"/>
        <w:rPr>
          <w:rFonts w:ascii="Tahoma" w:hAnsi="Tahoma" w:cs="Tahoma"/>
          <w:sz w:val="24"/>
          <w:szCs w:val="24"/>
        </w:rPr>
      </w:pPr>
    </w:p>
    <w:p w:rsidR="00000000" w:rsidRDefault="005F19B5">
      <w:pPr>
        <w:ind w:firstLine="720"/>
        <w:jc w:val="center"/>
        <w:rPr>
          <w:rFonts w:ascii="Tahoma" w:hAnsi="Tahoma" w:cs="Tahoma"/>
          <w:sz w:val="24"/>
          <w:szCs w:val="24"/>
        </w:rPr>
      </w:pPr>
      <w:r>
        <w:rPr>
          <w:rFonts w:ascii="Tahoma" w:hAnsi="Tahoma" w:cs="Tahoma"/>
          <w:sz w:val="24"/>
          <w:szCs w:val="24"/>
        </w:rPr>
        <w:t xml:space="preserve">Determina </w:t>
      </w:r>
    </w:p>
    <w:p w:rsidR="00000000" w:rsidRDefault="005F19B5">
      <w:pPr>
        <w:ind w:firstLine="720"/>
        <w:jc w:val="center"/>
        <w:rPr>
          <w:rFonts w:ascii="Tahoma" w:hAnsi="Tahoma" w:cs="Tahoma"/>
          <w:sz w:val="24"/>
          <w:szCs w:val="24"/>
        </w:rPr>
      </w:pPr>
      <w:r>
        <w:rPr>
          <w:rFonts w:ascii="Tahoma" w:hAnsi="Tahoma" w:cs="Tahoma"/>
          <w:sz w:val="24"/>
          <w:szCs w:val="24"/>
        </w:rPr>
        <w:tab/>
      </w:r>
    </w:p>
    <w:p w:rsidR="00000000" w:rsidRDefault="005F19B5">
      <w:pPr>
        <w:ind w:left="360" w:firstLine="360"/>
        <w:rPr>
          <w:rFonts w:ascii="Tahoma" w:hAnsi="Tahoma" w:cs="Tahoma"/>
          <w:sz w:val="24"/>
          <w:szCs w:val="24"/>
        </w:rPr>
      </w:pPr>
      <w:r>
        <w:rPr>
          <w:rFonts w:ascii="Tahoma" w:hAnsi="Tahoma" w:cs="Tahoma"/>
          <w:sz w:val="24"/>
          <w:szCs w:val="24"/>
        </w:rPr>
        <w:t xml:space="preserve">Di approvare premesse e narrativa che del presente provvedimento formano parte integrante e sostanziale; </w:t>
      </w:r>
    </w:p>
    <w:p w:rsidR="00000000" w:rsidRDefault="005F19B5">
      <w:pPr>
        <w:ind w:firstLine="720"/>
        <w:rPr>
          <w:rFonts w:ascii="Tahoma" w:hAnsi="Tahoma" w:cs="Tahoma"/>
          <w:sz w:val="24"/>
          <w:szCs w:val="24"/>
        </w:rPr>
      </w:pPr>
      <w:r>
        <w:rPr>
          <w:rFonts w:ascii="Tahoma" w:hAnsi="Tahoma" w:cs="Tahoma"/>
          <w:sz w:val="24"/>
          <w:szCs w:val="24"/>
        </w:rPr>
        <w:t xml:space="preserve">di liquidare in favore della Bmore Eccellenze per il Sociale con sede legale in Ariano </w:t>
      </w:r>
      <w:r>
        <w:rPr>
          <w:rFonts w:ascii="Tahoma" w:hAnsi="Tahoma" w:cs="Tahoma"/>
          <w:sz w:val="24"/>
          <w:szCs w:val="24"/>
        </w:rPr>
        <w:lastRenderedPageBreak/>
        <w:t xml:space="preserve">Irpino (AV), l'importo di </w:t>
      </w:r>
      <w:r>
        <w:rPr>
          <w:rFonts w:ascii="Tahoma" w:hAnsi="Tahoma" w:cs="Tahoma"/>
          <w:sz w:val="24"/>
          <w:szCs w:val="24"/>
        </w:rPr>
        <w:t>€</w:t>
      </w:r>
      <w:r>
        <w:rPr>
          <w:rFonts w:ascii="Tahoma" w:hAnsi="Tahoma" w:cs="Tahoma"/>
          <w:sz w:val="24"/>
          <w:szCs w:val="24"/>
        </w:rPr>
        <w:t xml:space="preserve"> 42.000,00 comprensivo </w:t>
      </w:r>
      <w:r>
        <w:rPr>
          <w:rFonts w:ascii="Tahoma" w:hAnsi="Tahoma" w:cs="Tahoma"/>
          <w:sz w:val="24"/>
          <w:szCs w:val="24"/>
        </w:rPr>
        <w:t>d'IVA con accredito IBAN indicato nella fattura n.1/2025 del 20/03/2025;</w:t>
      </w:r>
    </w:p>
    <w:p w:rsidR="00000000" w:rsidRDefault="005F19B5">
      <w:pPr>
        <w:ind w:firstLine="720"/>
        <w:rPr>
          <w:rFonts w:ascii="Tahoma" w:hAnsi="Tahoma" w:cs="Tahoma"/>
          <w:sz w:val="24"/>
          <w:szCs w:val="24"/>
        </w:rPr>
      </w:pPr>
      <w:r>
        <w:rPr>
          <w:rFonts w:ascii="Tahoma" w:hAnsi="Tahoma" w:cs="Tahoma"/>
          <w:sz w:val="24"/>
          <w:szCs w:val="24"/>
        </w:rPr>
        <w:t xml:space="preserve">di liquidare in favore di Projenia Società Cooperative Sociale l'importo di </w:t>
      </w:r>
      <w:r>
        <w:rPr>
          <w:rFonts w:ascii="Tahoma" w:hAnsi="Tahoma" w:cs="Tahoma"/>
          <w:sz w:val="24"/>
          <w:szCs w:val="24"/>
        </w:rPr>
        <w:t>€</w:t>
      </w:r>
      <w:r>
        <w:rPr>
          <w:rFonts w:ascii="Tahoma" w:hAnsi="Tahoma" w:cs="Tahoma"/>
          <w:sz w:val="24"/>
          <w:szCs w:val="24"/>
        </w:rPr>
        <w:t xml:space="preserve"> 3.500,00 con accredito IBAN indicato nella fattura n.5_25 del 10/01/2025;</w:t>
      </w:r>
    </w:p>
    <w:p w:rsidR="00000000" w:rsidRDefault="005F19B5">
      <w:pPr>
        <w:ind w:firstLine="720"/>
        <w:rPr>
          <w:rFonts w:ascii="Tahoma" w:hAnsi="Tahoma" w:cs="Tahoma"/>
          <w:sz w:val="24"/>
          <w:szCs w:val="24"/>
        </w:rPr>
      </w:pPr>
      <w:r>
        <w:rPr>
          <w:rFonts w:ascii="Tahoma" w:hAnsi="Tahoma" w:cs="Tahoma"/>
          <w:sz w:val="24"/>
          <w:szCs w:val="24"/>
        </w:rPr>
        <w:t>di liquidare in favore di PA Vi</w:t>
      </w:r>
      <w:r>
        <w:rPr>
          <w:rFonts w:ascii="Tahoma" w:hAnsi="Tahoma" w:cs="Tahoma"/>
          <w:sz w:val="24"/>
          <w:szCs w:val="24"/>
        </w:rPr>
        <w:t xml:space="preserve">ta ODV con sede legale in Ariano Irpino l'importo di </w:t>
      </w:r>
      <w:r>
        <w:rPr>
          <w:rFonts w:ascii="Tahoma" w:hAnsi="Tahoma" w:cs="Tahoma"/>
          <w:sz w:val="24"/>
          <w:szCs w:val="24"/>
        </w:rPr>
        <w:t>€</w:t>
      </w:r>
      <w:r>
        <w:rPr>
          <w:rFonts w:ascii="Tahoma" w:hAnsi="Tahoma" w:cs="Tahoma"/>
          <w:sz w:val="24"/>
          <w:szCs w:val="24"/>
        </w:rPr>
        <w:t xml:space="preserve"> 11.879,80 con accredito IBAN indicato nel rendiconto acquisito al protocollo dell'ente il 07/04/2025 n. 2013;</w:t>
      </w:r>
    </w:p>
    <w:p w:rsidR="00000000" w:rsidRDefault="005F19B5">
      <w:pPr>
        <w:ind w:left="360" w:firstLine="360"/>
        <w:jc w:val="both"/>
        <w:rPr>
          <w:rFonts w:ascii="Tahoma" w:hAnsi="Tahoma" w:cs="Tahoma"/>
          <w:color w:val="000000"/>
          <w:sz w:val="24"/>
          <w:szCs w:val="24"/>
        </w:rPr>
      </w:pPr>
      <w:r>
        <w:rPr>
          <w:rFonts w:ascii="Tahoma" w:hAnsi="Tahoma" w:cs="Tahoma"/>
          <w:sz w:val="24"/>
          <w:szCs w:val="24"/>
        </w:rPr>
        <w:t xml:space="preserve">di imputare la spesa </w:t>
      </w:r>
      <w:r>
        <w:rPr>
          <w:rFonts w:ascii="Tahoma" w:hAnsi="Tahoma" w:cs="Tahoma"/>
          <w:color w:val="000000"/>
          <w:sz w:val="24"/>
          <w:szCs w:val="24"/>
        </w:rPr>
        <w:t xml:space="preserve">complessiva di </w:t>
      </w:r>
      <w:r>
        <w:rPr>
          <w:rFonts w:ascii="Tahoma" w:hAnsi="Tahoma" w:cs="Tahoma"/>
          <w:color w:val="000000"/>
          <w:sz w:val="24"/>
          <w:szCs w:val="24"/>
        </w:rPr>
        <w:t>€</w:t>
      </w:r>
      <w:r>
        <w:rPr>
          <w:rFonts w:ascii="Tahoma" w:hAnsi="Tahoma" w:cs="Tahoma"/>
          <w:color w:val="000000"/>
          <w:sz w:val="24"/>
          <w:szCs w:val="24"/>
        </w:rPr>
        <w:t xml:space="preserve"> 57.379,80 sul capitolo 1431 impegno 30.01.04.01 del b</w:t>
      </w:r>
      <w:r>
        <w:rPr>
          <w:rFonts w:ascii="Tahoma" w:hAnsi="Tahoma" w:cs="Tahoma"/>
          <w:color w:val="000000"/>
          <w:sz w:val="24"/>
          <w:szCs w:val="24"/>
        </w:rPr>
        <w:t>ilancio 2025;</w:t>
      </w:r>
    </w:p>
    <w:p w:rsidR="00000000" w:rsidRDefault="005F19B5">
      <w:pPr>
        <w:ind w:firstLine="720"/>
        <w:jc w:val="both"/>
        <w:rPr>
          <w:rFonts w:ascii="Tahoma" w:hAnsi="Tahoma" w:cs="Tahoma"/>
          <w:color w:val="000000"/>
          <w:sz w:val="24"/>
          <w:szCs w:val="24"/>
        </w:rPr>
      </w:pPr>
      <w:r>
        <w:rPr>
          <w:rFonts w:ascii="Tahoma" w:hAnsi="Tahoma" w:cs="Tahoma"/>
          <w:color w:val="000000"/>
          <w:sz w:val="24"/>
          <w:szCs w:val="24"/>
        </w:rPr>
        <w:t>di rendere atto che il presente provvedimento è adottato nel rispetto della competenza finanziaria potenziata di cui all'allegato 4/2 del D.lgs. 118/2011, nonché compatibile con le disposizioni dell'articolo 9 del D.L. 01/07/2009, n. 78, conv</w:t>
      </w:r>
      <w:r>
        <w:rPr>
          <w:rFonts w:ascii="Tahoma" w:hAnsi="Tahoma" w:cs="Tahoma"/>
          <w:color w:val="000000"/>
          <w:sz w:val="24"/>
          <w:szCs w:val="24"/>
        </w:rPr>
        <w:t>ertito nella Legge n. 102/2009;</w:t>
      </w:r>
    </w:p>
    <w:p w:rsidR="00000000" w:rsidRDefault="005F19B5">
      <w:pPr>
        <w:ind w:firstLine="720"/>
        <w:jc w:val="both"/>
        <w:rPr>
          <w:rFonts w:ascii="Tahoma" w:hAnsi="Tahoma" w:cs="Tahoma"/>
          <w:color w:val="000000"/>
          <w:sz w:val="24"/>
          <w:szCs w:val="24"/>
        </w:rPr>
      </w:pPr>
      <w:r>
        <w:rPr>
          <w:rFonts w:ascii="Tahoma" w:hAnsi="Tahoma" w:cs="Tahoma"/>
          <w:color w:val="000000"/>
          <w:sz w:val="24"/>
          <w:szCs w:val="24"/>
        </w:rPr>
        <w:t>di comunicare ai sensi dell'articolo 8 della Legge 241/90 che il Responsabile del procedimento è il Direttore generale dell'Ente;</w:t>
      </w:r>
    </w:p>
    <w:p w:rsidR="00000000" w:rsidRDefault="005F19B5">
      <w:pPr>
        <w:ind w:firstLine="720"/>
        <w:jc w:val="both"/>
        <w:rPr>
          <w:rFonts w:ascii="Tahoma" w:hAnsi="Tahoma" w:cs="Tahoma"/>
          <w:color w:val="000000"/>
          <w:sz w:val="24"/>
          <w:szCs w:val="24"/>
        </w:rPr>
      </w:pPr>
      <w:r>
        <w:rPr>
          <w:rFonts w:ascii="Tahoma" w:hAnsi="Tahoma" w:cs="Tahoma"/>
          <w:color w:val="000000"/>
          <w:sz w:val="24"/>
          <w:szCs w:val="24"/>
        </w:rPr>
        <w:t>di accertare, ai fini del controllo preventivo di regolarità, legittimità e correttezza dell'a</w:t>
      </w:r>
      <w:r>
        <w:rPr>
          <w:rFonts w:ascii="Tahoma" w:hAnsi="Tahoma" w:cs="Tahoma"/>
          <w:color w:val="000000"/>
          <w:sz w:val="24"/>
          <w:szCs w:val="24"/>
        </w:rPr>
        <w:t>zione amministrativa di cui all'articolo 147-bis, comma 1, del D.lgs. n. 267/2000, la regolarità tecnica del presente provvedimento, alla stregua del parere favorevole espresso sullo stesso dal responsabile del servizio;</w:t>
      </w:r>
    </w:p>
    <w:p w:rsidR="00000000" w:rsidRDefault="005F19B5">
      <w:pPr>
        <w:jc w:val="both"/>
        <w:rPr>
          <w:rFonts w:ascii="Tahoma" w:hAnsi="Tahoma" w:cs="Tahoma"/>
          <w:color w:val="000000"/>
          <w:sz w:val="24"/>
          <w:szCs w:val="24"/>
        </w:rPr>
      </w:pPr>
      <w:r>
        <w:rPr>
          <w:rFonts w:ascii="Tahoma" w:hAnsi="Tahoma" w:cs="Tahoma"/>
          <w:color w:val="000000"/>
          <w:sz w:val="24"/>
          <w:szCs w:val="24"/>
        </w:rPr>
        <w:t xml:space="preserve">   </w:t>
      </w:r>
      <w:r>
        <w:rPr>
          <w:rFonts w:ascii="Tahoma" w:hAnsi="Tahoma" w:cs="Tahoma"/>
          <w:color w:val="000000"/>
          <w:sz w:val="24"/>
          <w:szCs w:val="24"/>
        </w:rPr>
        <w:tab/>
        <w:t>di attestare ai sensi dell'art.</w:t>
      </w:r>
      <w:r>
        <w:rPr>
          <w:rFonts w:ascii="Tahoma" w:hAnsi="Tahoma" w:cs="Tahoma"/>
          <w:color w:val="000000"/>
          <w:sz w:val="24"/>
          <w:szCs w:val="24"/>
        </w:rPr>
        <w:t xml:space="preserve"> 6 comma 1 D.P.R. n. 62/2013, dell'art.6 bis della legge 07.06.1990 n. 241, come introdotto dall'art.1, comma 41 della legge 06.11.2012 n.190, nonché delle linee guida n. 15 dell'ANAC approvate dal Consiglio dell'Autorità con delibera n. 494 del 05/06/2019</w:t>
      </w:r>
      <w:r>
        <w:rPr>
          <w:rFonts w:ascii="Tahoma" w:hAnsi="Tahoma" w:cs="Tahoma"/>
          <w:color w:val="000000"/>
          <w:sz w:val="24"/>
          <w:szCs w:val="24"/>
        </w:rPr>
        <w:t>, che non sussiste conflitto d'interesse per l'emanatore del provvedimento, nonché per l'istruttore del procedimento attestante la regolarità tecnica ed amministrativa dello stesso;</w:t>
      </w:r>
    </w:p>
    <w:p w:rsidR="00000000" w:rsidRDefault="005F19B5">
      <w:pPr>
        <w:ind w:firstLine="720"/>
        <w:jc w:val="both"/>
        <w:rPr>
          <w:rFonts w:ascii="Tahoma" w:hAnsi="Tahoma" w:cs="Tahoma"/>
          <w:color w:val="000000"/>
          <w:sz w:val="24"/>
          <w:szCs w:val="24"/>
        </w:rPr>
      </w:pPr>
      <w:r>
        <w:rPr>
          <w:rFonts w:ascii="Tahoma" w:hAnsi="Tahoma" w:cs="Tahoma"/>
          <w:color w:val="000000"/>
          <w:sz w:val="24"/>
          <w:szCs w:val="24"/>
        </w:rPr>
        <w:t>di rendere atto che il presente provvedimento diviene esecutivo con l'appo</w:t>
      </w:r>
      <w:r>
        <w:rPr>
          <w:rFonts w:ascii="Tahoma" w:hAnsi="Tahoma" w:cs="Tahoma"/>
          <w:color w:val="000000"/>
          <w:sz w:val="24"/>
          <w:szCs w:val="24"/>
        </w:rPr>
        <w:t>sizione del visto di regolarità contabile attestante la copertura finanziaria espresso ai sensi dell'art. 183, comma 7, del Decreto Legislativo 18 agosto 2000, n. 267 dal responsabile del servizio finanziario;</w:t>
      </w:r>
    </w:p>
    <w:p w:rsidR="00000000" w:rsidRDefault="005F19B5">
      <w:pPr>
        <w:jc w:val="both"/>
        <w:rPr>
          <w:rFonts w:ascii="Tahoma" w:hAnsi="Tahoma" w:cs="Tahoma"/>
          <w:color w:val="000000"/>
          <w:sz w:val="24"/>
          <w:szCs w:val="24"/>
        </w:rPr>
      </w:pPr>
      <w:r>
        <w:rPr>
          <w:rFonts w:ascii="Tahoma" w:hAnsi="Tahoma" w:cs="Tahoma"/>
          <w:color w:val="000000"/>
          <w:sz w:val="24"/>
          <w:szCs w:val="24"/>
        </w:rPr>
        <w:tab/>
        <w:t>di rendere noto che ai sensi dell'art. 3, com</w:t>
      </w:r>
      <w:r>
        <w:rPr>
          <w:rFonts w:ascii="Tahoma" w:hAnsi="Tahoma" w:cs="Tahoma"/>
          <w:color w:val="000000"/>
          <w:sz w:val="24"/>
          <w:szCs w:val="24"/>
        </w:rPr>
        <w:t xml:space="preserve">ma 4 della legge 241/90 avverso il presente provvedimento è ammesso ricorso:     </w:t>
      </w:r>
    </w:p>
    <w:p w:rsidR="00000000" w:rsidRDefault="005F19B5">
      <w:pPr>
        <w:jc w:val="both"/>
        <w:rPr>
          <w:rFonts w:ascii="Tahoma" w:hAnsi="Tahoma" w:cs="Tahoma"/>
          <w:color w:val="000000"/>
          <w:sz w:val="24"/>
          <w:szCs w:val="24"/>
        </w:rPr>
      </w:pPr>
      <w:r>
        <w:rPr>
          <w:rFonts w:ascii="Tahoma" w:hAnsi="Tahoma" w:cs="Tahoma"/>
          <w:color w:val="000000"/>
          <w:sz w:val="24"/>
          <w:szCs w:val="24"/>
        </w:rPr>
        <w:t>a)</w:t>
      </w:r>
      <w:r>
        <w:rPr>
          <w:rFonts w:ascii="Tahoma" w:hAnsi="Tahoma" w:cs="Tahoma"/>
          <w:color w:val="000000"/>
          <w:sz w:val="24"/>
          <w:szCs w:val="24"/>
        </w:rPr>
        <w:tab/>
        <w:t xml:space="preserve">giurisdizionale al TAR ai sensi dell'art. 2 lettera </w:t>
      </w:r>
      <w:r>
        <w:rPr>
          <w:rFonts w:ascii="Tahoma" w:hAnsi="Tahoma" w:cs="Tahoma"/>
          <w:color w:val="000000"/>
          <w:sz w:val="24"/>
          <w:szCs w:val="24"/>
        </w:rPr>
        <w:t>“</w:t>
      </w:r>
      <w:r>
        <w:rPr>
          <w:rFonts w:ascii="Tahoma" w:hAnsi="Tahoma" w:cs="Tahoma"/>
          <w:color w:val="000000"/>
          <w:sz w:val="24"/>
          <w:szCs w:val="24"/>
        </w:rPr>
        <w:t>b</w:t>
      </w:r>
      <w:r>
        <w:rPr>
          <w:rFonts w:ascii="Tahoma" w:hAnsi="Tahoma" w:cs="Tahoma"/>
          <w:color w:val="000000"/>
          <w:sz w:val="24"/>
          <w:szCs w:val="24"/>
        </w:rPr>
        <w:t>”</w:t>
      </w:r>
      <w:r>
        <w:rPr>
          <w:rFonts w:ascii="Tahoma" w:hAnsi="Tahoma" w:cs="Tahoma"/>
          <w:color w:val="000000"/>
          <w:sz w:val="24"/>
          <w:szCs w:val="24"/>
        </w:rPr>
        <w:t xml:space="preserve"> della legge 1034/71 e s. m. e i., entro 60 giorni dalla data in cui l'interessato ne abbia notizia;</w:t>
      </w:r>
    </w:p>
    <w:p w:rsidR="00000000" w:rsidRDefault="005F19B5">
      <w:pPr>
        <w:jc w:val="both"/>
        <w:rPr>
          <w:rFonts w:ascii="Tahoma" w:hAnsi="Tahoma" w:cs="Tahoma"/>
          <w:color w:val="000000"/>
          <w:sz w:val="24"/>
          <w:szCs w:val="24"/>
        </w:rPr>
      </w:pPr>
      <w:r>
        <w:rPr>
          <w:rFonts w:ascii="Tahoma" w:hAnsi="Tahoma" w:cs="Tahoma"/>
          <w:color w:val="000000"/>
          <w:sz w:val="24"/>
          <w:szCs w:val="24"/>
        </w:rPr>
        <w:t>b)</w:t>
      </w:r>
      <w:r>
        <w:rPr>
          <w:rFonts w:ascii="Tahoma" w:hAnsi="Tahoma" w:cs="Tahoma"/>
          <w:color w:val="000000"/>
          <w:sz w:val="24"/>
          <w:szCs w:val="24"/>
        </w:rPr>
        <w:tab/>
        <w:t>straordinari</w:t>
      </w:r>
      <w:r>
        <w:rPr>
          <w:rFonts w:ascii="Tahoma" w:hAnsi="Tahoma" w:cs="Tahoma"/>
          <w:color w:val="000000"/>
          <w:sz w:val="24"/>
          <w:szCs w:val="24"/>
        </w:rPr>
        <w:t>o al Presidente della Repubblica per motivi di legittimità entro 120 giorni dal medesimo termine di cui sopra, ai sensi del DPR n. 1199/71;</w:t>
      </w:r>
    </w:p>
    <w:p w:rsidR="00000000" w:rsidRDefault="005F19B5">
      <w:pPr>
        <w:jc w:val="both"/>
        <w:rPr>
          <w:rFonts w:ascii="Tahoma" w:hAnsi="Tahoma" w:cs="Tahoma"/>
          <w:color w:val="000000"/>
          <w:sz w:val="24"/>
          <w:szCs w:val="24"/>
        </w:rPr>
      </w:pPr>
      <w:r>
        <w:rPr>
          <w:rFonts w:ascii="Tahoma" w:hAnsi="Tahoma" w:cs="Tahoma"/>
          <w:color w:val="000000"/>
          <w:sz w:val="24"/>
          <w:szCs w:val="24"/>
        </w:rPr>
        <w:tab/>
        <w:t>di pubblicare il presente atto in albo pretorio per quindici giorni consecutivi ed altresì, in amministrazione tras</w:t>
      </w:r>
      <w:r>
        <w:rPr>
          <w:rFonts w:ascii="Tahoma" w:hAnsi="Tahoma" w:cs="Tahoma"/>
          <w:color w:val="000000"/>
          <w:sz w:val="24"/>
          <w:szCs w:val="24"/>
        </w:rPr>
        <w:t>parente in ottemperanza delle disposizioni previste dal D.lgs. 33/2013;</w:t>
      </w:r>
    </w:p>
    <w:p w:rsidR="00000000" w:rsidRDefault="005F19B5">
      <w:pPr>
        <w:ind w:firstLine="720"/>
        <w:jc w:val="both"/>
        <w:rPr>
          <w:rFonts w:ascii="Tahoma" w:hAnsi="Tahoma" w:cs="Tahoma"/>
          <w:color w:val="000000"/>
          <w:sz w:val="24"/>
          <w:szCs w:val="24"/>
        </w:rPr>
      </w:pPr>
      <w:r>
        <w:rPr>
          <w:rFonts w:ascii="Tahoma" w:hAnsi="Tahoma" w:cs="Tahoma"/>
          <w:color w:val="000000"/>
          <w:sz w:val="24"/>
          <w:szCs w:val="24"/>
        </w:rPr>
        <w:t>di trasmettere il presente provvedimento al Presidente del CDA dando atto che la pubblicazione del presente provvedimento in albo pretorio dell'ente è valevole, a tutti gli effetti, qu</w:t>
      </w:r>
      <w:r>
        <w:rPr>
          <w:rFonts w:ascii="Tahoma" w:hAnsi="Tahoma" w:cs="Tahoma"/>
          <w:color w:val="000000"/>
          <w:sz w:val="24"/>
          <w:szCs w:val="24"/>
        </w:rPr>
        <w:t>ale notifica agli interessati.</w:t>
      </w:r>
    </w:p>
    <w:p w:rsidR="00000000" w:rsidRDefault="005F19B5">
      <w:pPr>
        <w:rPr>
          <w:rFonts w:ascii="Arial" w:hAnsi="Arial" w:cs="Arial"/>
          <w:color w:val="000000"/>
          <w:sz w:val="22"/>
          <w:szCs w:val="22"/>
        </w:rPr>
      </w:pPr>
    </w:p>
    <w:tbl>
      <w:tblPr>
        <w:tblW w:w="5000" w:type="pct"/>
        <w:tblLayout w:type="fixed"/>
        <w:tblCellMar>
          <w:left w:w="0" w:type="dxa"/>
          <w:right w:w="0" w:type="dxa"/>
        </w:tblCellMar>
        <w:tblLook w:val="0000" w:firstRow="0" w:lastRow="0" w:firstColumn="0" w:lastColumn="0" w:noHBand="0" w:noVBand="0"/>
      </w:tblPr>
      <w:tblGrid>
        <w:gridCol w:w="3212"/>
        <w:gridCol w:w="3212"/>
        <w:gridCol w:w="3214"/>
      </w:tblGrid>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5F19B5">
            <w:pPr>
              <w:rPr>
                <w:rFonts w:ascii="Arial" w:hAnsi="Arial" w:cs="Arial"/>
                <w:color w:val="000000"/>
                <w:sz w:val="22"/>
                <w:szCs w:val="22"/>
              </w:rPr>
            </w:pPr>
          </w:p>
        </w:tc>
        <w:tc>
          <w:tcPr>
            <w:tcW w:w="1666" w:type="pct"/>
            <w:tcBorders>
              <w:top w:val="nil"/>
              <w:left w:val="nil"/>
              <w:bottom w:val="nil"/>
              <w:right w:val="nil"/>
            </w:tcBorders>
          </w:tcPr>
          <w:p w:rsidR="00000000" w:rsidRDefault="005F19B5">
            <w:pPr>
              <w:rPr>
                <w:rFonts w:ascii="Arial" w:hAnsi="Arial" w:cs="Arial"/>
                <w:color w:val="000000"/>
                <w:sz w:val="22"/>
                <w:szCs w:val="22"/>
              </w:rPr>
            </w:pPr>
          </w:p>
        </w:tc>
        <w:tc>
          <w:tcPr>
            <w:tcW w:w="1667" w:type="pct"/>
            <w:tcBorders>
              <w:top w:val="nil"/>
              <w:left w:val="nil"/>
              <w:bottom w:val="nil"/>
              <w:right w:val="nil"/>
            </w:tcBorders>
          </w:tcPr>
          <w:p w:rsidR="00000000" w:rsidRDefault="005F19B5">
            <w:pPr>
              <w:jc w:val="center"/>
              <w:rPr>
                <w:rFonts w:ascii="Arial" w:hAnsi="Arial" w:cs="Arial"/>
                <w:color w:val="000000"/>
                <w:sz w:val="22"/>
                <w:szCs w:val="22"/>
              </w:rPr>
            </w:pPr>
            <w:r>
              <w:rPr>
                <w:rFonts w:ascii="Arial" w:hAnsi="Arial" w:cs="Arial"/>
                <w:color w:val="000000"/>
                <w:sz w:val="22"/>
                <w:szCs w:val="22"/>
              </w:rPr>
              <w:t>IL DIRETTORE GENERALE</w:t>
            </w:r>
          </w:p>
        </w:tc>
      </w:tr>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5F19B5">
            <w:pPr>
              <w:rPr>
                <w:rFonts w:ascii="Arial" w:hAnsi="Arial" w:cs="Arial"/>
                <w:color w:val="000000"/>
                <w:sz w:val="22"/>
                <w:szCs w:val="22"/>
              </w:rPr>
            </w:pPr>
          </w:p>
        </w:tc>
        <w:tc>
          <w:tcPr>
            <w:tcW w:w="1666" w:type="pct"/>
            <w:tcBorders>
              <w:top w:val="nil"/>
              <w:left w:val="nil"/>
              <w:bottom w:val="nil"/>
              <w:right w:val="nil"/>
            </w:tcBorders>
          </w:tcPr>
          <w:p w:rsidR="00000000" w:rsidRDefault="005F19B5">
            <w:pPr>
              <w:rPr>
                <w:rFonts w:ascii="Arial" w:hAnsi="Arial" w:cs="Arial"/>
                <w:color w:val="000000"/>
                <w:sz w:val="22"/>
                <w:szCs w:val="22"/>
              </w:rPr>
            </w:pPr>
          </w:p>
        </w:tc>
        <w:tc>
          <w:tcPr>
            <w:tcW w:w="1667" w:type="pct"/>
            <w:tcBorders>
              <w:top w:val="nil"/>
              <w:left w:val="nil"/>
              <w:bottom w:val="nil"/>
              <w:right w:val="nil"/>
            </w:tcBorders>
          </w:tcPr>
          <w:p w:rsidR="00000000" w:rsidRDefault="005F19B5">
            <w:pPr>
              <w:jc w:val="center"/>
              <w:rPr>
                <w:rFonts w:ascii="Arial" w:hAnsi="Arial" w:cs="Arial"/>
                <w:color w:val="000000"/>
                <w:sz w:val="22"/>
                <w:szCs w:val="22"/>
              </w:rPr>
            </w:pPr>
            <w:r>
              <w:rPr>
                <w:rFonts w:ascii="Arial" w:hAnsi="Arial" w:cs="Arial"/>
                <w:color w:val="000000"/>
                <w:sz w:val="22"/>
                <w:szCs w:val="22"/>
              </w:rPr>
              <w:t>Dott. Vincenzo Solomita</w:t>
            </w:r>
          </w:p>
        </w:tc>
      </w:tr>
    </w:tbl>
    <w:p w:rsidR="00000000" w:rsidRDefault="005F19B5">
      <w:pPr>
        <w:rPr>
          <w:rFonts w:ascii="Arial" w:hAnsi="Arial" w:cs="Arial"/>
          <w:b/>
          <w:bCs/>
          <w:color w:val="008000"/>
          <w:sz w:val="24"/>
          <w:szCs w:val="24"/>
        </w:rPr>
      </w:pPr>
    </w:p>
    <w:p w:rsidR="00000000" w:rsidRDefault="005F19B5">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soggetto responsabile ai sensi dell'art.3, comma 2 del Decreto Legislativo n. 39/1993</w:t>
      </w:r>
    </w:p>
    <w:p w:rsidR="00000000" w:rsidRDefault="005F19B5">
      <w:pPr>
        <w:rPr>
          <w:rFonts w:ascii="Arial" w:hAnsi="Arial" w:cs="Arial"/>
          <w:b/>
          <w:bCs/>
          <w:color w:val="008000"/>
          <w:sz w:val="24"/>
          <w:szCs w:val="24"/>
        </w:rPr>
      </w:pPr>
      <w:r>
        <w:rPr>
          <w:rFonts w:ascii="Bookman Old Style" w:hAnsi="Bookman Old Style" w:cs="Bookman Old Style"/>
          <w:sz w:val="16"/>
          <w:szCs w:val="16"/>
        </w:rPr>
        <w:br w:type="page"/>
      </w:r>
    </w:p>
    <w:p w:rsidR="00000000" w:rsidRDefault="005F19B5">
      <w:pPr>
        <w:rPr>
          <w:rFonts w:ascii="Arial" w:hAnsi="Arial" w:cs="Arial"/>
          <w:b/>
          <w:bCs/>
          <w:color w:val="008000"/>
          <w:sz w:val="24"/>
          <w:szCs w:val="24"/>
        </w:rPr>
      </w:pPr>
    </w:p>
    <w:p w:rsidR="00000000" w:rsidRDefault="005F19B5">
      <w:pPr>
        <w:rPr>
          <w:rFonts w:ascii="Arial" w:hAnsi="Arial" w:cs="Arial"/>
          <w:b/>
          <w:bCs/>
          <w:color w:val="008000"/>
          <w:sz w:val="24"/>
          <w:szCs w:val="24"/>
        </w:rPr>
      </w:pPr>
    </w:p>
    <w:p w:rsidR="00000000" w:rsidRDefault="005F19B5">
      <w:pPr>
        <w:rPr>
          <w:rFonts w:ascii="Arial" w:hAnsi="Arial" w:cs="Arial"/>
          <w:b/>
          <w:bCs/>
          <w:color w:val="008000"/>
          <w:sz w:val="24"/>
          <w:szCs w:val="24"/>
        </w:rPr>
      </w:pPr>
      <w:r>
        <w:rPr>
          <w:rFonts w:ascii="Arial" w:hAnsi="Arial" w:cs="Arial"/>
          <w:b/>
          <w:bCs/>
          <w:color w:val="008000"/>
          <w:sz w:val="24"/>
          <w:szCs w:val="24"/>
        </w:rPr>
        <w:t xml:space="preserve"> </w:t>
      </w:r>
    </w:p>
    <w:p w:rsidR="00000000" w:rsidRDefault="005F19B5">
      <w:pPr>
        <w:rPr>
          <w:rFonts w:ascii="Arial" w:hAnsi="Arial" w:cs="Arial"/>
          <w:b/>
          <w:bCs/>
          <w:color w:val="008000"/>
          <w:sz w:val="24"/>
          <w:szCs w:val="24"/>
        </w:rPr>
      </w:pPr>
    </w:p>
    <w:p w:rsidR="00000000" w:rsidRDefault="005F19B5">
      <w:pPr>
        <w:spacing w:line="360" w:lineRule="auto"/>
        <w:jc w:val="center"/>
        <w:rPr>
          <w:rFonts w:ascii="Bookman Old Style" w:hAnsi="Bookman Old Style" w:cs="Bookman Old Style"/>
          <w:b/>
          <w:bCs/>
          <w:color w:val="000000"/>
          <w:sz w:val="22"/>
          <w:szCs w:val="22"/>
        </w:rPr>
      </w:pPr>
      <w:r>
        <w:rPr>
          <w:rFonts w:ascii="Bookman Old Style" w:hAnsi="Bookman Old Style" w:cs="Bookman Old Style"/>
          <w:b/>
          <w:bCs/>
          <w:color w:val="000000"/>
          <w:sz w:val="22"/>
          <w:szCs w:val="22"/>
        </w:rPr>
        <w:t>VISTO DI REGOLARITÀ CONTABILE</w:t>
      </w:r>
    </w:p>
    <w:p w:rsidR="00000000" w:rsidRDefault="005F19B5">
      <w:pPr>
        <w:spacing w:line="360" w:lineRule="auto"/>
        <w:jc w:val="center"/>
        <w:rPr>
          <w:rFonts w:ascii="Bookman Old Style" w:hAnsi="Bookman Old Style" w:cs="Bookman Old Style"/>
          <w:b/>
          <w:bCs/>
          <w:color w:val="000000"/>
          <w:sz w:val="22"/>
          <w:szCs w:val="22"/>
        </w:rPr>
      </w:pPr>
    </w:p>
    <w:p w:rsidR="00000000" w:rsidRDefault="005F19B5">
      <w:pPr>
        <w:spacing w:line="360" w:lineRule="auto"/>
        <w:jc w:val="center"/>
        <w:rPr>
          <w:rFonts w:ascii="Bookman Old Style" w:hAnsi="Bookman Old Style" w:cs="Bookman Old Style"/>
          <w:sz w:val="22"/>
          <w:szCs w:val="22"/>
        </w:rPr>
      </w:pPr>
      <w:r>
        <w:rPr>
          <w:rFonts w:ascii="Bookman Old Style" w:hAnsi="Bookman Old Style" w:cs="Bookman Old Style"/>
          <w:sz w:val="22"/>
          <w:szCs w:val="22"/>
        </w:rPr>
        <w:t>(Art. 183</w:t>
      </w:r>
      <w:r>
        <w:rPr>
          <w:rFonts w:ascii="Bookman Old Style" w:hAnsi="Bookman Old Style" w:cs="Bookman Old Style"/>
          <w:sz w:val="22"/>
          <w:szCs w:val="22"/>
        </w:rPr>
        <w:t>, comma 4, D.Lgs. 18 Agosto 2000, n. 267)</w:t>
      </w:r>
    </w:p>
    <w:p w:rsidR="00000000" w:rsidRDefault="005F19B5">
      <w:pPr>
        <w:spacing w:line="360" w:lineRule="auto"/>
        <w:rPr>
          <w:rFonts w:ascii="Bookman Old Style" w:hAnsi="Bookman Old Style" w:cs="Bookman Old Style"/>
          <w:sz w:val="22"/>
          <w:szCs w:val="22"/>
        </w:rPr>
      </w:pPr>
      <w:r>
        <w:rPr>
          <w:rFonts w:ascii="Bookman Old Style" w:hAnsi="Bookman Old Style" w:cs="Bookman Old Style"/>
          <w:sz w:val="22"/>
          <w:szCs w:val="22"/>
        </w:rPr>
        <w:t xml:space="preserve">Si attesta la regolarità contabile e la copertura finanziaria con imputazione ai seguenti capitoli: </w:t>
      </w:r>
    </w:p>
    <w:p w:rsidR="00000000" w:rsidRDefault="005F19B5">
      <w:pPr>
        <w:spacing w:line="276" w:lineRule="auto"/>
        <w:rPr>
          <w:rFonts w:ascii="Bookman Old Style" w:hAnsi="Bookman Old Style" w:cs="Bookman Old Style"/>
          <w:sz w:val="22"/>
          <w:szCs w:val="22"/>
        </w:rPr>
      </w:pPr>
    </w:p>
    <w:tbl>
      <w:tblPr>
        <w:tblW w:w="9603" w:type="dxa"/>
        <w:tblLayout w:type="fixed"/>
        <w:tblCellMar>
          <w:left w:w="0" w:type="dxa"/>
          <w:right w:w="0" w:type="dxa"/>
        </w:tblCellMar>
        <w:tblLook w:val="0000" w:firstRow="0" w:lastRow="0" w:firstColumn="0" w:lastColumn="0" w:noHBand="0" w:noVBand="0"/>
      </w:tblPr>
      <w:tblGrid>
        <w:gridCol w:w="3202"/>
        <w:gridCol w:w="2307"/>
        <w:gridCol w:w="4094"/>
      </w:tblGrid>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5F19B5">
            <w:pPr>
              <w:rPr>
                <w:rFonts w:ascii="Bookman Old Style" w:hAnsi="Bookman Old Style" w:cs="Bookman Old Style"/>
                <w:sz w:val="22"/>
                <w:szCs w:val="22"/>
              </w:rPr>
            </w:pPr>
            <w:r>
              <w:rPr>
                <w:rFonts w:ascii="Bookman Old Style" w:hAnsi="Bookman Old Style" w:cs="Bookman Old Style"/>
                <w:sz w:val="22"/>
                <w:szCs w:val="22"/>
              </w:rPr>
              <w:t>Ariano Irpino, lì 27/05/2025</w:t>
            </w:r>
          </w:p>
        </w:tc>
        <w:tc>
          <w:tcPr>
            <w:tcW w:w="2307" w:type="dxa"/>
            <w:tcBorders>
              <w:top w:val="nil"/>
              <w:left w:val="nil"/>
              <w:bottom w:val="nil"/>
              <w:right w:val="nil"/>
            </w:tcBorders>
          </w:tcPr>
          <w:p w:rsidR="00000000" w:rsidRDefault="005F19B5">
            <w:pPr>
              <w:rPr>
                <w:rFonts w:ascii="Bookman Old Style" w:hAnsi="Bookman Old Style" w:cs="Bookman Old Style"/>
                <w:sz w:val="22"/>
                <w:szCs w:val="22"/>
              </w:rPr>
            </w:pPr>
          </w:p>
        </w:tc>
        <w:tc>
          <w:tcPr>
            <w:tcW w:w="4094" w:type="dxa"/>
            <w:tcBorders>
              <w:top w:val="nil"/>
              <w:left w:val="nil"/>
              <w:bottom w:val="nil"/>
              <w:right w:val="nil"/>
            </w:tcBorders>
          </w:tcPr>
          <w:p w:rsidR="00000000" w:rsidRDefault="005F19B5">
            <w:pPr>
              <w:rPr>
                <w:rFonts w:ascii="Bookman Old Style" w:hAnsi="Bookman Old Style" w:cs="Bookman Old Style"/>
                <w:sz w:val="22"/>
                <w:szCs w:val="22"/>
              </w:rPr>
            </w:pP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5F19B5">
            <w:pPr>
              <w:rPr>
                <w:rFonts w:ascii="Bookman Old Style" w:hAnsi="Bookman Old Style" w:cs="Bookman Old Style"/>
                <w:sz w:val="22"/>
                <w:szCs w:val="22"/>
              </w:rPr>
            </w:pPr>
          </w:p>
        </w:tc>
        <w:tc>
          <w:tcPr>
            <w:tcW w:w="2307" w:type="dxa"/>
            <w:tcBorders>
              <w:top w:val="nil"/>
              <w:left w:val="nil"/>
              <w:bottom w:val="nil"/>
              <w:right w:val="nil"/>
            </w:tcBorders>
          </w:tcPr>
          <w:p w:rsidR="00000000" w:rsidRDefault="005F19B5">
            <w:pPr>
              <w:rPr>
                <w:rFonts w:ascii="Bookman Old Style" w:hAnsi="Bookman Old Style" w:cs="Bookman Old Style"/>
                <w:sz w:val="22"/>
                <w:szCs w:val="22"/>
              </w:rPr>
            </w:pPr>
          </w:p>
        </w:tc>
        <w:tc>
          <w:tcPr>
            <w:tcW w:w="4094" w:type="dxa"/>
            <w:tcBorders>
              <w:top w:val="nil"/>
              <w:left w:val="nil"/>
              <w:bottom w:val="nil"/>
              <w:right w:val="nil"/>
            </w:tcBorders>
          </w:tcPr>
          <w:p w:rsidR="00000000" w:rsidRDefault="005F19B5">
            <w:pPr>
              <w:jc w:val="center"/>
              <w:rPr>
                <w:rFonts w:ascii="Bookman Old Style" w:hAnsi="Bookman Old Style" w:cs="Bookman Old Style"/>
                <w:sz w:val="22"/>
                <w:szCs w:val="22"/>
              </w:rPr>
            </w:pP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5F19B5">
            <w:pPr>
              <w:rPr>
                <w:rFonts w:ascii="Bookman Old Style" w:hAnsi="Bookman Old Style" w:cs="Bookman Old Style"/>
                <w:sz w:val="22"/>
                <w:szCs w:val="22"/>
              </w:rPr>
            </w:pPr>
          </w:p>
        </w:tc>
        <w:tc>
          <w:tcPr>
            <w:tcW w:w="2307" w:type="dxa"/>
            <w:tcBorders>
              <w:top w:val="nil"/>
              <w:left w:val="nil"/>
              <w:bottom w:val="nil"/>
              <w:right w:val="nil"/>
            </w:tcBorders>
          </w:tcPr>
          <w:p w:rsidR="00000000" w:rsidRDefault="005F19B5">
            <w:pPr>
              <w:rPr>
                <w:rFonts w:ascii="Bookman Old Style" w:hAnsi="Bookman Old Style" w:cs="Bookman Old Style"/>
                <w:sz w:val="22"/>
                <w:szCs w:val="22"/>
              </w:rPr>
            </w:pPr>
          </w:p>
        </w:tc>
        <w:tc>
          <w:tcPr>
            <w:tcW w:w="4094" w:type="dxa"/>
            <w:tcBorders>
              <w:top w:val="nil"/>
              <w:left w:val="nil"/>
              <w:bottom w:val="nil"/>
              <w:right w:val="nil"/>
            </w:tcBorders>
          </w:tcPr>
          <w:p w:rsidR="00000000" w:rsidRDefault="005F19B5">
            <w:pPr>
              <w:jc w:val="center"/>
              <w:rPr>
                <w:rFonts w:ascii="Bookman Old Style" w:hAnsi="Bookman Old Style" w:cs="Bookman Old Style"/>
                <w:sz w:val="22"/>
                <w:szCs w:val="22"/>
              </w:rPr>
            </w:pPr>
            <w:r>
              <w:rPr>
                <w:rFonts w:ascii="Bookman Old Style" w:hAnsi="Bookman Old Style" w:cs="Bookman Old Style"/>
                <w:sz w:val="22"/>
                <w:szCs w:val="22"/>
              </w:rPr>
              <w:t>Il Responsabile del Servizio Finanziario</w:t>
            </w: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5F19B5">
            <w:pPr>
              <w:rPr>
                <w:rFonts w:ascii="Bookman Old Style" w:hAnsi="Bookman Old Style" w:cs="Bookman Old Style"/>
                <w:sz w:val="22"/>
                <w:szCs w:val="22"/>
              </w:rPr>
            </w:pPr>
          </w:p>
        </w:tc>
        <w:tc>
          <w:tcPr>
            <w:tcW w:w="2307" w:type="dxa"/>
            <w:tcBorders>
              <w:top w:val="nil"/>
              <w:left w:val="nil"/>
              <w:bottom w:val="nil"/>
              <w:right w:val="nil"/>
            </w:tcBorders>
          </w:tcPr>
          <w:p w:rsidR="00000000" w:rsidRDefault="005F19B5">
            <w:pPr>
              <w:rPr>
                <w:rFonts w:ascii="Bookman Old Style" w:hAnsi="Bookman Old Style" w:cs="Bookman Old Style"/>
                <w:sz w:val="22"/>
                <w:szCs w:val="22"/>
              </w:rPr>
            </w:pPr>
          </w:p>
        </w:tc>
        <w:tc>
          <w:tcPr>
            <w:tcW w:w="4094" w:type="dxa"/>
            <w:tcBorders>
              <w:top w:val="nil"/>
              <w:left w:val="nil"/>
              <w:bottom w:val="nil"/>
              <w:right w:val="nil"/>
            </w:tcBorders>
          </w:tcPr>
          <w:p w:rsidR="00000000" w:rsidRDefault="005F19B5">
            <w:pPr>
              <w:jc w:val="center"/>
              <w:rPr>
                <w:rFonts w:ascii="Bookman Old Style" w:hAnsi="Bookman Old Style" w:cs="Bookman Old Style"/>
                <w:sz w:val="22"/>
                <w:szCs w:val="22"/>
              </w:rPr>
            </w:pPr>
            <w:r>
              <w:rPr>
                <w:rFonts w:ascii="Bookman Old Style" w:hAnsi="Bookman Old Style" w:cs="Bookman Old Style"/>
                <w:sz w:val="22"/>
                <w:szCs w:val="22"/>
              </w:rPr>
              <w:t>MANGANIELLO RAFFAELE</w:t>
            </w:r>
          </w:p>
        </w:tc>
      </w:tr>
    </w:tbl>
    <w:p w:rsidR="00000000" w:rsidRDefault="005F19B5">
      <w:pPr>
        <w:rPr>
          <w:rFonts w:ascii="Arial" w:hAnsi="Arial" w:cs="Arial"/>
          <w:b/>
          <w:bCs/>
          <w:color w:val="008000"/>
          <w:sz w:val="24"/>
          <w:szCs w:val="24"/>
        </w:rPr>
      </w:pPr>
    </w:p>
    <w:p w:rsidR="00000000" w:rsidRDefault="005F19B5">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soggetto responsabile ai sensi dell'art.3, comma 2 del Decreto Legislativo n. 39/1993</w:t>
      </w:r>
    </w:p>
    <w:p w:rsidR="00000000" w:rsidRDefault="005F19B5">
      <w:pPr>
        <w:rPr>
          <w:rFonts w:ascii="Bookman Old Style" w:hAnsi="Bookman Old Style" w:cs="Bookman Old Style"/>
          <w:sz w:val="16"/>
          <w:szCs w:val="16"/>
        </w:rPr>
      </w:pPr>
    </w:p>
    <w:p w:rsidR="00000000" w:rsidRDefault="005F19B5">
      <w:pPr>
        <w:rPr>
          <w:rFonts w:ascii="Bookman Old Style" w:hAnsi="Bookman Old Style" w:cs="Bookman Old Style"/>
          <w:sz w:val="16"/>
          <w:szCs w:val="16"/>
        </w:rPr>
      </w:pPr>
    </w:p>
    <w:p w:rsidR="00000000" w:rsidRDefault="005F19B5">
      <w:pPr>
        <w:spacing w:line="360" w:lineRule="auto"/>
        <w:jc w:val="center"/>
        <w:rPr>
          <w:rFonts w:ascii="Bookman Old Style" w:hAnsi="Bookman Old Style" w:cs="Bookman Old Style"/>
          <w:b/>
          <w:bCs/>
          <w:color w:val="000000"/>
          <w:sz w:val="22"/>
          <w:szCs w:val="22"/>
        </w:rPr>
      </w:pPr>
    </w:p>
    <w:p w:rsidR="00000000" w:rsidRDefault="005F19B5">
      <w:pPr>
        <w:spacing w:line="360" w:lineRule="auto"/>
        <w:jc w:val="center"/>
        <w:rPr>
          <w:rFonts w:ascii="Bookman Old Style" w:hAnsi="Bookman Old Style" w:cs="Bookman Old Style"/>
          <w:b/>
          <w:bCs/>
          <w:color w:val="000000"/>
          <w:sz w:val="22"/>
          <w:szCs w:val="22"/>
        </w:rPr>
      </w:pPr>
      <w:r>
        <w:rPr>
          <w:rFonts w:ascii="Bookman Old Style" w:hAnsi="Bookman Old Style" w:cs="Bookman Old Style"/>
          <w:b/>
          <w:bCs/>
          <w:color w:val="000000"/>
          <w:sz w:val="22"/>
          <w:szCs w:val="22"/>
        </w:rPr>
        <w:t>CERTIFICATO DI ESECUTIVITA'</w:t>
      </w:r>
    </w:p>
    <w:p w:rsidR="00000000" w:rsidRDefault="005F19B5">
      <w:pPr>
        <w:spacing w:line="360" w:lineRule="auto"/>
        <w:jc w:val="center"/>
        <w:rPr>
          <w:rFonts w:ascii="Bookman Old Style" w:hAnsi="Bookman Old Style" w:cs="Bookman Old Style"/>
          <w:b/>
          <w:bCs/>
          <w:color w:val="000000"/>
          <w:sz w:val="22"/>
          <w:szCs w:val="22"/>
        </w:rPr>
      </w:pPr>
    </w:p>
    <w:p w:rsidR="00000000" w:rsidRDefault="005F19B5">
      <w:pPr>
        <w:spacing w:line="360" w:lineRule="auto"/>
        <w:rPr>
          <w:rFonts w:ascii="Bookman Old Style" w:hAnsi="Bookman Old Style" w:cs="Bookman Old Style"/>
          <w:sz w:val="22"/>
          <w:szCs w:val="22"/>
        </w:rPr>
      </w:pPr>
      <w:r>
        <w:rPr>
          <w:rFonts w:ascii="Bookman Old Style" w:hAnsi="Bookman Old Style" w:cs="Bookman Old Style"/>
          <w:sz w:val="22"/>
          <w:szCs w:val="22"/>
        </w:rPr>
        <w:t xml:space="preserve">Si certifica che il presente atto è divenuto esecutivo in data 27/05/2025 </w:t>
      </w:r>
    </w:p>
    <w:p w:rsidR="00000000" w:rsidRDefault="005F19B5">
      <w:pPr>
        <w:spacing w:line="360" w:lineRule="auto"/>
        <w:rPr>
          <w:rFonts w:ascii="Bookman Old Style" w:hAnsi="Bookman Old Style" w:cs="Bookman Old Style"/>
          <w:sz w:val="22"/>
          <w:szCs w:val="22"/>
        </w:rPr>
      </w:pPr>
    </w:p>
    <w:tbl>
      <w:tblPr>
        <w:tblW w:w="5000" w:type="pct"/>
        <w:tblLayout w:type="fixed"/>
        <w:tblCellMar>
          <w:left w:w="0" w:type="dxa"/>
          <w:right w:w="0" w:type="dxa"/>
        </w:tblCellMar>
        <w:tblLook w:val="0000" w:firstRow="0" w:lastRow="0" w:firstColumn="0" w:lastColumn="0" w:noHBand="0" w:noVBand="0"/>
      </w:tblPr>
      <w:tblGrid>
        <w:gridCol w:w="3212"/>
        <w:gridCol w:w="3212"/>
        <w:gridCol w:w="3214"/>
      </w:tblGrid>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5F19B5">
            <w:pPr>
              <w:rPr>
                <w:rFonts w:ascii="Bookman Old Style" w:hAnsi="Bookman Old Style" w:cs="Bookman Old Style"/>
                <w:sz w:val="22"/>
                <w:szCs w:val="22"/>
              </w:rPr>
            </w:pPr>
          </w:p>
        </w:tc>
        <w:tc>
          <w:tcPr>
            <w:tcW w:w="1666" w:type="pct"/>
            <w:tcBorders>
              <w:top w:val="nil"/>
              <w:left w:val="nil"/>
              <w:bottom w:val="nil"/>
              <w:right w:val="nil"/>
            </w:tcBorders>
          </w:tcPr>
          <w:p w:rsidR="00000000" w:rsidRDefault="005F19B5">
            <w:pPr>
              <w:rPr>
                <w:rFonts w:ascii="Bookman Old Style" w:hAnsi="Bookman Old Style" w:cs="Bookman Old Style"/>
                <w:sz w:val="22"/>
                <w:szCs w:val="22"/>
              </w:rPr>
            </w:pPr>
          </w:p>
        </w:tc>
        <w:tc>
          <w:tcPr>
            <w:tcW w:w="1667" w:type="pct"/>
            <w:tcBorders>
              <w:top w:val="nil"/>
              <w:left w:val="nil"/>
              <w:bottom w:val="nil"/>
              <w:right w:val="nil"/>
            </w:tcBorders>
          </w:tcPr>
          <w:p w:rsidR="00000000" w:rsidRDefault="005F19B5">
            <w:pPr>
              <w:jc w:val="center"/>
              <w:rPr>
                <w:rFonts w:ascii="Bookman Old Style" w:hAnsi="Bookman Old Style" w:cs="Bookman Old Style"/>
                <w:sz w:val="22"/>
                <w:szCs w:val="22"/>
              </w:rPr>
            </w:pPr>
            <w:r>
              <w:rPr>
                <w:rFonts w:ascii="Bookman Old Style" w:hAnsi="Bookman Old Style" w:cs="Bookman Old Style"/>
                <w:sz w:val="22"/>
                <w:szCs w:val="22"/>
              </w:rPr>
              <w:t>Il DIRETTORE GENERALE</w:t>
            </w:r>
          </w:p>
        </w:tc>
      </w:tr>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5F19B5">
            <w:pPr>
              <w:rPr>
                <w:rFonts w:ascii="Bookman Old Style" w:hAnsi="Bookman Old Style" w:cs="Bookman Old Style"/>
                <w:sz w:val="22"/>
                <w:szCs w:val="22"/>
              </w:rPr>
            </w:pPr>
          </w:p>
        </w:tc>
        <w:tc>
          <w:tcPr>
            <w:tcW w:w="1666" w:type="pct"/>
            <w:tcBorders>
              <w:top w:val="nil"/>
              <w:left w:val="nil"/>
              <w:bottom w:val="nil"/>
              <w:right w:val="nil"/>
            </w:tcBorders>
          </w:tcPr>
          <w:p w:rsidR="00000000" w:rsidRDefault="005F19B5">
            <w:pPr>
              <w:rPr>
                <w:rFonts w:ascii="Bookman Old Style" w:hAnsi="Bookman Old Style" w:cs="Bookman Old Style"/>
                <w:sz w:val="22"/>
                <w:szCs w:val="22"/>
              </w:rPr>
            </w:pPr>
          </w:p>
        </w:tc>
        <w:tc>
          <w:tcPr>
            <w:tcW w:w="1667" w:type="pct"/>
            <w:tcBorders>
              <w:top w:val="nil"/>
              <w:left w:val="nil"/>
              <w:bottom w:val="nil"/>
              <w:right w:val="nil"/>
            </w:tcBorders>
          </w:tcPr>
          <w:p w:rsidR="00000000" w:rsidRDefault="005F19B5">
            <w:pPr>
              <w:jc w:val="center"/>
              <w:rPr>
                <w:rFonts w:ascii="Bookman Old Style" w:hAnsi="Bookman Old Style" w:cs="Bookman Old Style"/>
                <w:sz w:val="22"/>
                <w:szCs w:val="22"/>
              </w:rPr>
            </w:pPr>
            <w:r>
              <w:rPr>
                <w:rFonts w:ascii="Bookman Old Style" w:hAnsi="Bookman Old Style" w:cs="Bookman Old Style"/>
                <w:sz w:val="22"/>
                <w:szCs w:val="22"/>
              </w:rPr>
              <w:t>Dott. Vincenzo Solomita</w:t>
            </w:r>
          </w:p>
        </w:tc>
      </w:tr>
    </w:tbl>
    <w:p w:rsidR="00000000" w:rsidRDefault="005F19B5">
      <w:pPr>
        <w:rPr>
          <w:rFonts w:ascii="Bookman Old Style" w:hAnsi="Bookman Old Style" w:cs="Bookman Old Style"/>
          <w:sz w:val="22"/>
          <w:szCs w:val="22"/>
        </w:rPr>
      </w:pPr>
    </w:p>
    <w:p w:rsidR="00000000" w:rsidRDefault="005F19B5">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w:t>
      </w:r>
      <w:r>
        <w:rPr>
          <w:rFonts w:ascii="Bookman Old Style" w:hAnsi="Bookman Old Style" w:cs="Bookman Old Style"/>
          <w:sz w:val="16"/>
          <w:szCs w:val="16"/>
        </w:rPr>
        <w:t>etto responsabile ai sensi dell'art.3, comma 2 del Decreto Legislativo n. 39/1993</w:t>
      </w:r>
    </w:p>
    <w:p w:rsidR="00000000" w:rsidRDefault="005F19B5">
      <w:pPr>
        <w:spacing w:line="360" w:lineRule="auto"/>
        <w:jc w:val="center"/>
        <w:rPr>
          <w:rFonts w:ascii="Arial" w:hAnsi="Arial" w:cs="Arial"/>
          <w:b/>
          <w:bCs/>
          <w:color w:val="008000"/>
          <w:sz w:val="24"/>
          <w:szCs w:val="24"/>
        </w:rPr>
      </w:pPr>
    </w:p>
    <w:p w:rsidR="005F19B5" w:rsidRDefault="005F19B5" w:rsidP="00A86E95">
      <w:pPr>
        <w:spacing w:line="360" w:lineRule="auto"/>
        <w:rPr>
          <w:rFonts w:ascii="Arial" w:hAnsi="Arial" w:cs="Arial"/>
          <w:b/>
          <w:bCs/>
          <w:color w:val="008000"/>
          <w:sz w:val="24"/>
          <w:szCs w:val="24"/>
        </w:rPr>
      </w:pPr>
      <w:bookmarkStart w:id="0" w:name="_GoBack"/>
      <w:bookmarkEnd w:id="0"/>
    </w:p>
    <w:sectPr w:rsidR="005F19B5">
      <w:pgSz w:w="11906" w:h="16838"/>
      <w:pgMar w:top="1440" w:right="1134"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ind w:left="1428" w:hanging="360"/>
      </w:pPr>
      <w:rPr>
        <w:rFonts w:ascii="Symbol" w:hAnsi="Symbol" w:cs="Symbol"/>
      </w:rPr>
    </w:lvl>
    <w:lvl w:ilvl="1">
      <w:start w:val="1"/>
      <w:numFmt w:val="bullet"/>
      <w:lvlText w:val="o"/>
      <w:lvlJc w:val="left"/>
      <w:pPr>
        <w:ind w:left="2148" w:hanging="360"/>
      </w:pPr>
      <w:rPr>
        <w:rFonts w:ascii="Courier New" w:hAnsi="Courier New" w:cs="Courier New"/>
      </w:rPr>
    </w:lvl>
    <w:lvl w:ilvl="2">
      <w:start w:val="1"/>
      <w:numFmt w:val="bullet"/>
      <w:lvlText w:val=""/>
      <w:lvlJc w:val="left"/>
      <w:pPr>
        <w:ind w:left="2868" w:hanging="360"/>
      </w:pPr>
      <w:rPr>
        <w:rFonts w:ascii="Wingdings" w:hAnsi="Wingdings" w:cs="Wingdings"/>
      </w:rPr>
    </w:lvl>
    <w:lvl w:ilvl="3">
      <w:start w:val="1"/>
      <w:numFmt w:val="bullet"/>
      <w:lvlText w:val=""/>
      <w:lvlJc w:val="left"/>
      <w:pPr>
        <w:ind w:left="3588" w:hanging="360"/>
      </w:pPr>
      <w:rPr>
        <w:rFonts w:ascii="Symbol" w:hAnsi="Symbol" w:cs="Symbol"/>
      </w:rPr>
    </w:lvl>
    <w:lvl w:ilvl="4">
      <w:start w:val="1"/>
      <w:numFmt w:val="bullet"/>
      <w:lvlText w:val="o"/>
      <w:lvlJc w:val="left"/>
      <w:pPr>
        <w:ind w:left="4308" w:hanging="360"/>
      </w:pPr>
      <w:rPr>
        <w:rFonts w:ascii="Courier New" w:hAnsi="Courier New" w:cs="Courier New"/>
      </w:rPr>
    </w:lvl>
    <w:lvl w:ilvl="5">
      <w:start w:val="1"/>
      <w:numFmt w:val="bullet"/>
      <w:lvlText w:val=""/>
      <w:lvlJc w:val="left"/>
      <w:pPr>
        <w:ind w:left="5028" w:hanging="360"/>
      </w:pPr>
      <w:rPr>
        <w:rFonts w:ascii="Wingdings" w:hAnsi="Wingdings" w:cs="Wingdings"/>
      </w:rPr>
    </w:lvl>
    <w:lvl w:ilvl="6">
      <w:start w:val="1"/>
      <w:numFmt w:val="bullet"/>
      <w:lvlText w:val=""/>
      <w:lvlJc w:val="left"/>
      <w:pPr>
        <w:ind w:left="5748" w:hanging="360"/>
      </w:pPr>
      <w:rPr>
        <w:rFonts w:ascii="Symbol" w:hAnsi="Symbol" w:cs="Symbol"/>
      </w:rPr>
    </w:lvl>
    <w:lvl w:ilvl="7">
      <w:start w:val="1"/>
      <w:numFmt w:val="bullet"/>
      <w:lvlText w:val="o"/>
      <w:lvlJc w:val="left"/>
      <w:pPr>
        <w:ind w:left="6468" w:hanging="360"/>
      </w:pPr>
      <w:rPr>
        <w:rFonts w:ascii="Courier New" w:hAnsi="Courier New" w:cs="Courier New"/>
      </w:rPr>
    </w:lvl>
    <w:lvl w:ilvl="8">
      <w:start w:val="1"/>
      <w:numFmt w:val="bullet"/>
      <w:lvlText w:val=""/>
      <w:lvlJc w:val="left"/>
      <w:pPr>
        <w:ind w:left="7188" w:hanging="360"/>
      </w:pPr>
      <w:rPr>
        <w:rFonts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E95"/>
    <w:rsid w:val="005F19B5"/>
    <w:rsid w:val="00A86E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07CE73A-1347-4625-AEDB-05AF8A48F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paragraph" w:styleId="Titolo1">
    <w:name w:val="heading 1"/>
    <w:basedOn w:val="Normale"/>
    <w:next w:val="Normale"/>
    <w:link w:val="Titolo1Carattere"/>
    <w:uiPriority w:val="99"/>
    <w:qFormat/>
    <w:pPr>
      <w:outlineLvl w:val="0"/>
    </w:pPr>
    <w:rPr>
      <w:b/>
      <w:bCs/>
      <w:sz w:val="24"/>
      <w:szCs w:val="24"/>
    </w:rPr>
  </w:style>
  <w:style w:type="paragraph" w:styleId="Titolo3">
    <w:name w:val="heading 3"/>
    <w:basedOn w:val="Normale"/>
    <w:next w:val="Normale"/>
    <w:link w:val="Titolo3Carattere"/>
    <w:uiPriority w:val="99"/>
    <w:qFormat/>
    <w:pPr>
      <w:spacing w:before="240" w:after="60"/>
      <w:outlineLvl w:val="2"/>
    </w:pPr>
    <w:rPr>
      <w:rFonts w:ascii="Cambria" w:hAnsi="Cambria" w:cs="Cambria"/>
      <w:b/>
      <w:bCs/>
      <w:sz w:val="26"/>
      <w:szCs w:val="26"/>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b/>
      <w:bCs/>
      <w:sz w:val="22"/>
      <w:szCs w:val="22"/>
    </w:rPr>
  </w:style>
  <w:style w:type="character" w:customStyle="1" w:styleId="Titolo3Carattere">
    <w:name w:val="Titolo 3 Carattere"/>
    <w:basedOn w:val="Carpredefinitoparagrafo"/>
    <w:link w:val="Titolo3"/>
    <w:uiPriority w:val="9"/>
    <w:semiHidden/>
    <w:rPr>
      <w:rFonts w:asciiTheme="majorHAnsi" w:eastAsiaTheme="majorEastAsia" w:hAnsiTheme="majorHAnsi" w:cstheme="majorBidi"/>
      <w:b/>
      <w:bCs/>
      <w:sz w:val="26"/>
      <w:szCs w:val="26"/>
    </w:rPr>
  </w:style>
  <w:style w:type="character" w:styleId="Collegamentoipertestuale">
    <w:name w:val="Hyperlink"/>
    <w:basedOn w:val="Carpredefinitoparagrafo"/>
    <w:uiPriority w:val="99"/>
    <w:rPr>
      <w:color w:val="0000FF"/>
      <w:sz w:val="22"/>
      <w:szCs w:val="22"/>
      <w:u w:val="single"/>
    </w:rPr>
  </w:style>
  <w:style w:type="paragraph" w:styleId="Corpotesto">
    <w:name w:val="Body Text"/>
    <w:basedOn w:val="Normale"/>
    <w:link w:val="CorpotestoCarattere"/>
    <w:uiPriority w:val="99"/>
    <w:pPr>
      <w:jc w:val="both"/>
    </w:pPr>
    <w:rPr>
      <w:sz w:val="24"/>
      <w:szCs w:val="24"/>
    </w:rPr>
  </w:style>
  <w:style w:type="character" w:customStyle="1" w:styleId="CorpotestoCarattere">
    <w:name w:val="Corpo testo Carattere"/>
    <w:basedOn w:val="Carpredefinitoparagrafo"/>
    <w:link w:val="Corpotesto"/>
    <w:uiPriority w:val="99"/>
    <w:semiHidden/>
    <w:rPr>
      <w:rFonts w:ascii="Times New Roman" w:hAnsi="Times New Roman" w:cs="Times New Roman"/>
      <w:sz w:val="20"/>
      <w:szCs w:val="20"/>
    </w:rPr>
  </w:style>
  <w:style w:type="paragraph" w:customStyle="1" w:styleId="pMsoNormal">
    <w:name w:val="p.MsoNormal"/>
    <w:uiPriority w:val="99"/>
    <w:pPr>
      <w:widowControl w:val="0"/>
      <w:autoSpaceDE w:val="0"/>
      <w:autoSpaceDN w:val="0"/>
      <w:adjustRightInd w:val="0"/>
      <w:spacing w:after="200" w:line="276" w:lineRule="auto"/>
    </w:pPr>
    <w:rPr>
      <w:rFonts w:ascii="Calibri" w:hAnsi="Calibri" w:cs="Calibri"/>
    </w:rPr>
  </w:style>
  <w:style w:type="paragraph" w:customStyle="1" w:styleId="liMsoNormal">
    <w:name w:val="li.MsoNormal"/>
    <w:uiPriority w:val="99"/>
    <w:pPr>
      <w:widowControl w:val="0"/>
      <w:autoSpaceDE w:val="0"/>
      <w:autoSpaceDN w:val="0"/>
      <w:adjustRightInd w:val="0"/>
      <w:spacing w:after="200" w:line="276" w:lineRule="auto"/>
    </w:pPr>
    <w:rPr>
      <w:rFonts w:ascii="Calibri" w:hAnsi="Calibri" w:cs="Calibri"/>
    </w:rPr>
  </w:style>
  <w:style w:type="paragraph" w:customStyle="1" w:styleId="divMsoNormal">
    <w:name w:val="div.MsoNormal"/>
    <w:uiPriority w:val="99"/>
    <w:pPr>
      <w:widowControl w:val="0"/>
      <w:autoSpaceDE w:val="0"/>
      <w:autoSpaceDN w:val="0"/>
      <w:adjustRightInd w:val="0"/>
      <w:spacing w:after="200" w:line="276" w:lineRule="auto"/>
    </w:pPr>
    <w:rPr>
      <w:rFonts w:ascii="Calibri" w:hAnsi="Calibri" w:cs="Calibri"/>
    </w:rPr>
  </w:style>
  <w:style w:type="paragraph" w:customStyle="1" w:styleId="MsoChpDefault">
    <w:name w:val=".MsoChpDefault"/>
    <w:uiPriority w:val="99"/>
    <w:pPr>
      <w:widowControl w:val="0"/>
      <w:autoSpaceDE w:val="0"/>
      <w:autoSpaceDN w:val="0"/>
      <w:adjustRightInd w:val="0"/>
      <w:spacing w:after="0" w:line="240" w:lineRule="auto"/>
    </w:pPr>
    <w:rPr>
      <w:rFonts w:ascii="Times New Roman" w:hAnsi="Times New Roman" w:cs="Times New Roman"/>
    </w:rPr>
  </w:style>
  <w:style w:type="paragraph" w:customStyle="1" w:styleId="MsoPapDefault">
    <w:name w:val=".MsoPapDefault"/>
    <w:uiPriority w:val="99"/>
    <w:pPr>
      <w:widowControl w:val="0"/>
      <w:autoSpaceDE w:val="0"/>
      <w:autoSpaceDN w:val="0"/>
      <w:adjustRightInd w:val="0"/>
      <w:spacing w:after="200" w:line="276" w:lineRule="auto"/>
    </w:pPr>
    <w:rPr>
      <w:rFonts w:ascii="Times New Roman" w:hAnsi="Times New Roman" w:cs="Times New Roman"/>
    </w:rPr>
  </w:style>
  <w:style w:type="paragraph" w:customStyle="1" w:styleId="pageSection1">
    <w:name w:val="@page Section1"/>
    <w:uiPriority w:val="99"/>
    <w:pPr>
      <w:widowControl w:val="0"/>
      <w:autoSpaceDE w:val="0"/>
      <w:autoSpaceDN w:val="0"/>
      <w:adjustRightInd w:val="0"/>
      <w:spacing w:before="1417" w:after="1417" w:line="240" w:lineRule="auto"/>
      <w:ind w:left="1417" w:right="1417"/>
    </w:pPr>
    <w:rPr>
      <w:rFonts w:ascii="Times New Roman" w:hAnsi="Times New Roman" w:cs="Times New Roman"/>
    </w:rPr>
  </w:style>
  <w:style w:type="paragraph" w:customStyle="1" w:styleId="divSection1">
    <w:name w:val="div.Section1"/>
    <w:uiPriority w:val="99"/>
    <w:pPr>
      <w:widowControl w:val="0"/>
      <w:autoSpaceDE w:val="0"/>
      <w:autoSpaceDN w:val="0"/>
      <w:adjustRightInd w:val="0"/>
      <w:spacing w:after="0" w:line="240" w:lineRule="auto"/>
    </w:pPr>
    <w:rPr>
      <w:rFonts w:ascii="Times New Roman" w:hAnsi="Times New Roman" w:cs="Times New Roman"/>
    </w:rPr>
  </w:style>
  <w:style w:type="paragraph" w:customStyle="1" w:styleId="DefinitionTerm">
    <w:name w:val="Definition Term"/>
    <w:basedOn w:val="Normale"/>
    <w:next w:val="DefinitionList"/>
    <w:uiPriority w:val="99"/>
    <w:rPr>
      <w:sz w:val="22"/>
      <w:szCs w:val="22"/>
    </w:rPr>
  </w:style>
  <w:style w:type="paragraph" w:customStyle="1" w:styleId="DefinitionList">
    <w:name w:val="Definition List"/>
    <w:basedOn w:val="Normale"/>
    <w:next w:val="DefinitionTerm"/>
    <w:uiPriority w:val="99"/>
    <w:pPr>
      <w:ind w:left="360"/>
    </w:pPr>
    <w:rPr>
      <w:sz w:val="22"/>
      <w:szCs w:val="22"/>
    </w:rPr>
  </w:style>
  <w:style w:type="paragraph" w:customStyle="1" w:styleId="Definition">
    <w:name w:val="Definition"/>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H1">
    <w:name w:val="H1"/>
    <w:basedOn w:val="Normale"/>
    <w:next w:val="Normale"/>
    <w:uiPriority w:val="99"/>
    <w:pPr>
      <w:spacing w:before="100" w:after="100"/>
    </w:pPr>
    <w:rPr>
      <w:b/>
      <w:bCs/>
      <w:sz w:val="48"/>
      <w:szCs w:val="48"/>
    </w:rPr>
  </w:style>
  <w:style w:type="paragraph" w:customStyle="1" w:styleId="H2">
    <w:name w:val="H2"/>
    <w:basedOn w:val="Normale"/>
    <w:next w:val="Normale"/>
    <w:uiPriority w:val="99"/>
    <w:pPr>
      <w:spacing w:before="100" w:after="100"/>
    </w:pPr>
    <w:rPr>
      <w:b/>
      <w:bCs/>
      <w:sz w:val="36"/>
      <w:szCs w:val="36"/>
    </w:rPr>
  </w:style>
  <w:style w:type="paragraph" w:customStyle="1" w:styleId="H3">
    <w:name w:val="H3"/>
    <w:basedOn w:val="Normale"/>
    <w:next w:val="Normale"/>
    <w:uiPriority w:val="99"/>
    <w:pPr>
      <w:spacing w:before="100" w:after="100"/>
    </w:pPr>
    <w:rPr>
      <w:b/>
      <w:bCs/>
      <w:sz w:val="28"/>
      <w:szCs w:val="28"/>
    </w:rPr>
  </w:style>
  <w:style w:type="paragraph" w:customStyle="1" w:styleId="H4">
    <w:name w:val="H4"/>
    <w:basedOn w:val="Normale"/>
    <w:next w:val="Normale"/>
    <w:uiPriority w:val="99"/>
    <w:pPr>
      <w:spacing w:before="100" w:after="100"/>
    </w:pPr>
    <w:rPr>
      <w:b/>
      <w:bCs/>
      <w:sz w:val="24"/>
      <w:szCs w:val="24"/>
    </w:rPr>
  </w:style>
  <w:style w:type="paragraph" w:customStyle="1" w:styleId="H5">
    <w:name w:val="H5"/>
    <w:basedOn w:val="Normale"/>
    <w:next w:val="Normale"/>
    <w:uiPriority w:val="99"/>
    <w:pPr>
      <w:spacing w:before="100" w:after="100"/>
    </w:pPr>
    <w:rPr>
      <w:b/>
      <w:bCs/>
    </w:rPr>
  </w:style>
  <w:style w:type="paragraph" w:customStyle="1" w:styleId="H6">
    <w:name w:val="H6"/>
    <w:basedOn w:val="Normale"/>
    <w:next w:val="Normale"/>
    <w:uiPriority w:val="99"/>
    <w:pPr>
      <w:spacing w:before="100" w:after="100"/>
    </w:pPr>
    <w:rPr>
      <w:b/>
      <w:bCs/>
      <w:sz w:val="16"/>
      <w:szCs w:val="16"/>
    </w:rPr>
  </w:style>
  <w:style w:type="paragraph" w:customStyle="1" w:styleId="Address">
    <w:name w:val="Address"/>
    <w:basedOn w:val="Normale"/>
    <w:next w:val="Normale"/>
    <w:uiPriority w:val="99"/>
    <w:rPr>
      <w:i/>
      <w:iCs/>
      <w:sz w:val="22"/>
      <w:szCs w:val="22"/>
    </w:rPr>
  </w:style>
  <w:style w:type="paragraph" w:customStyle="1" w:styleId="Blockquote">
    <w:name w:val="Blockquote"/>
    <w:basedOn w:val="Normale"/>
    <w:uiPriority w:val="99"/>
    <w:pPr>
      <w:spacing w:before="100" w:after="100"/>
      <w:ind w:left="360" w:right="360"/>
    </w:pPr>
    <w:rPr>
      <w:sz w:val="22"/>
      <w:szCs w:val="22"/>
    </w:rPr>
  </w:style>
  <w:style w:type="paragraph" w:customStyle="1" w:styleId="CITE">
    <w:name w:val="CITE"/>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CODE">
    <w:name w:val="CODE"/>
    <w:uiPriority w:val="99"/>
    <w:pPr>
      <w:widowControl w:val="0"/>
      <w:autoSpaceDE w:val="0"/>
      <w:autoSpaceDN w:val="0"/>
      <w:adjustRightInd w:val="0"/>
      <w:spacing w:after="0" w:line="240" w:lineRule="auto"/>
    </w:pPr>
    <w:rPr>
      <w:rFonts w:ascii="Courier New" w:hAnsi="Courier New" w:cs="Courier New"/>
      <w:sz w:val="20"/>
      <w:szCs w:val="20"/>
    </w:rPr>
  </w:style>
  <w:style w:type="character" w:styleId="Enfasicorsivo">
    <w:name w:val="Emphasis"/>
    <w:basedOn w:val="Carpredefinitoparagrafo"/>
    <w:uiPriority w:val="99"/>
    <w:qFormat/>
    <w:rPr>
      <w:i/>
      <w:iCs/>
      <w:sz w:val="22"/>
      <w:szCs w:val="22"/>
    </w:rPr>
  </w:style>
  <w:style w:type="character" w:styleId="Collegamentovisitato">
    <w:name w:val="FollowedHyperlink"/>
    <w:basedOn w:val="Carpredefinitoparagrafo"/>
    <w:uiPriority w:val="99"/>
    <w:rPr>
      <w:color w:val="800080"/>
      <w:sz w:val="22"/>
      <w:szCs w:val="22"/>
      <w:u w:val="single"/>
    </w:rPr>
  </w:style>
  <w:style w:type="paragraph" w:customStyle="1" w:styleId="Keyboard">
    <w:name w:val="Keyboard"/>
    <w:uiPriority w:val="99"/>
    <w:pPr>
      <w:widowControl w:val="0"/>
      <w:autoSpaceDE w:val="0"/>
      <w:autoSpaceDN w:val="0"/>
      <w:adjustRightInd w:val="0"/>
      <w:spacing w:after="0" w:line="240" w:lineRule="auto"/>
    </w:pPr>
    <w:rPr>
      <w:rFonts w:ascii="Courier New" w:hAnsi="Courier New" w:cs="Courier New"/>
      <w:b/>
      <w:bCs/>
      <w:sz w:val="20"/>
      <w:szCs w:val="20"/>
    </w:rPr>
  </w:style>
  <w:style w:type="paragraph" w:customStyle="1" w:styleId="Preformatted">
    <w:name w:val="Preformatted"/>
    <w:basedOn w:val="Normale"/>
    <w:uiPriority w:val="99"/>
    <w:rPr>
      <w:rFonts w:ascii="Courier New" w:hAnsi="Courier New" w:cs="Courier New"/>
    </w:rPr>
  </w:style>
  <w:style w:type="paragraph" w:customStyle="1" w:styleId="z-BottomofForm">
    <w:name w:val="z-Bottom of Form"/>
    <w:next w:val="Normale"/>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z-TopofForm">
    <w:name w:val="z-Top of Form"/>
    <w:next w:val="Normale"/>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Sample">
    <w:name w:val="Sample"/>
    <w:uiPriority w:val="99"/>
    <w:pPr>
      <w:widowControl w:val="0"/>
      <w:autoSpaceDE w:val="0"/>
      <w:autoSpaceDN w:val="0"/>
      <w:adjustRightInd w:val="0"/>
      <w:spacing w:after="0" w:line="240" w:lineRule="auto"/>
    </w:pPr>
    <w:rPr>
      <w:rFonts w:ascii="Courier New" w:hAnsi="Courier New" w:cs="Courier New"/>
    </w:rPr>
  </w:style>
  <w:style w:type="character" w:styleId="Enfasigrassetto">
    <w:name w:val="Strong"/>
    <w:basedOn w:val="Carpredefinitoparagrafo"/>
    <w:uiPriority w:val="99"/>
    <w:qFormat/>
    <w:rPr>
      <w:b/>
      <w:bCs/>
      <w:sz w:val="22"/>
      <w:szCs w:val="22"/>
    </w:rPr>
  </w:style>
  <w:style w:type="paragraph" w:customStyle="1" w:styleId="Typewriter">
    <w:name w:val="Typewriter"/>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Variable">
    <w:name w:val="Variable"/>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HTMLMarkup">
    <w:name w:val="HTML Markup"/>
    <w:uiPriority w:val="99"/>
    <w:pPr>
      <w:widowControl w:val="0"/>
      <w:autoSpaceDE w:val="0"/>
      <w:autoSpaceDN w:val="0"/>
      <w:adjustRightInd w:val="0"/>
      <w:spacing w:after="0" w:line="240" w:lineRule="auto"/>
    </w:pPr>
    <w:rPr>
      <w:rFonts w:ascii="Times New Roman" w:hAnsi="Times New Roman" w:cs="Times New Roman"/>
      <w:vanish/>
      <w:color w:val="FF0000"/>
    </w:rPr>
  </w:style>
  <w:style w:type="paragraph" w:customStyle="1" w:styleId="Comment">
    <w:name w:val="Comment"/>
    <w:uiPriority w:val="99"/>
    <w:pPr>
      <w:widowControl w:val="0"/>
      <w:autoSpaceDE w:val="0"/>
      <w:autoSpaceDN w:val="0"/>
      <w:adjustRightInd w:val="0"/>
      <w:spacing w:after="0" w:line="240" w:lineRule="auto"/>
    </w:pPr>
    <w:rPr>
      <w:rFonts w:ascii="Times New Roman" w:hAnsi="Times New Roman" w:cs="Times New Roman"/>
      <w: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1941</Words>
  <Characters>11065</Characters>
  <Application>Microsoft Office Word</Application>
  <DocSecurity>0</DocSecurity>
  <Lines>92</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2025-05-27T11:12:00Z</dcterms:created>
  <dcterms:modified xsi:type="dcterms:W3CDTF">2025-05-27T11:12:00Z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alias">
    <vt:lpwstr>27</vt:lpwstr>
  </property>
  <property fmtid="{D5CDD505-2E9C-101B-9397-08002B2CF9AE}" pid="3" name="alias">
    <vt:lpwstr>DELIB</vt:lpwstr>
  </property>
  <property fmtid="{D5CDD505-2E9C-101B-9397-08002B2CF9AE}" pid="4" name="contesto">
    <vt:lpwstr>2</vt:lpwstr>
  </property>
</Properties>
</file>